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D66" w:rsidRDefault="000A2D66" w:rsidP="000A2D66">
      <w:pPr>
        <w:pStyle w:val="Odstavekseznama"/>
        <w:numPr>
          <w:ilvl w:val="0"/>
          <w:numId w:val="20"/>
        </w:numPr>
        <w:pBdr>
          <w:bottom w:val="single" w:sz="4" w:space="1" w:color="auto"/>
        </w:pBdr>
        <w:ind w:left="284" w:hanging="284"/>
        <w:contextualSpacing w:val="0"/>
        <w:jc w:val="both"/>
      </w:pPr>
      <w:r>
        <w:rPr>
          <w:lang w:val="en-GB"/>
        </w:rPr>
        <w:t xml:space="preserve">Official Gazette of the Republic of Slovenia, No. 17/18 of 16 March 2018 (in force </w:t>
      </w:r>
      <w:r w:rsidR="00B710EA">
        <w:rPr>
          <w:lang w:val="en-GB"/>
        </w:rPr>
        <w:t>since</w:t>
      </w:r>
      <w:r>
        <w:rPr>
          <w:lang w:val="en-GB"/>
        </w:rPr>
        <w:t xml:space="preserve"> 17 March 2018)</w:t>
      </w:r>
    </w:p>
    <w:p w:rsidR="000A2D66" w:rsidRDefault="000A2D66" w:rsidP="000A2D66">
      <w:pPr>
        <w:pBdr>
          <w:bottom w:val="single" w:sz="4" w:space="1" w:color="auto"/>
        </w:pBdr>
      </w:pPr>
    </w:p>
    <w:p w:rsidR="000A2D66" w:rsidRDefault="000A2D66" w:rsidP="000A2D66">
      <w:pPr>
        <w:pStyle w:val="Telobesedila2"/>
        <w:rPr>
          <w:sz w:val="22"/>
          <w:szCs w:val="22"/>
        </w:rPr>
      </w:pPr>
    </w:p>
    <w:p w:rsidR="007470B8" w:rsidRPr="00C95D7E" w:rsidRDefault="007470B8" w:rsidP="007470B8">
      <w:pPr>
        <w:pStyle w:val="Navadensplet"/>
        <w:jc w:val="both"/>
        <w:rPr>
          <w:color w:val="auto"/>
          <w:sz w:val="22"/>
          <w:szCs w:val="22"/>
        </w:rPr>
      </w:pPr>
      <w:r>
        <w:rPr>
          <w:color w:val="auto"/>
          <w:sz w:val="22"/>
          <w:szCs w:val="22"/>
          <w:lang w:val="en-GB"/>
        </w:rPr>
        <w:t>Pursuant to the third paragraph of Article 7 of the Banking Act (Official Gazette of the Republic of Slovenia, Nos. 25/15, 44/16 [ZRPPB], 77/16 [ZCKR] and 41/17; hereinafter: the ZBan-2), and the first paragraph of Article 31 of the Bank of Slovenia Act (Official Gazette of the Republic of Slovenia, Nos. 72/06 [official consolidated version], 59/11 and 55/17), the Governing Board of the Bank of Slovenia hereby issues the following</w:t>
      </w:r>
    </w:p>
    <w:p w:rsidR="00B979DE" w:rsidRPr="00C95D7E" w:rsidRDefault="00B979DE" w:rsidP="00B979DE">
      <w:pPr>
        <w:pStyle w:val="Navadensplet"/>
        <w:spacing w:after="0"/>
        <w:ind w:firstLine="155"/>
        <w:jc w:val="both"/>
        <w:rPr>
          <w:color w:val="auto"/>
          <w:sz w:val="22"/>
          <w:szCs w:val="22"/>
        </w:rPr>
      </w:pPr>
    </w:p>
    <w:p w:rsidR="002B43F2" w:rsidRPr="00C95D7E" w:rsidRDefault="002B43F2" w:rsidP="00B979DE">
      <w:pPr>
        <w:pStyle w:val="esegmentt"/>
        <w:spacing w:after="0" w:line="240" w:lineRule="auto"/>
        <w:rPr>
          <w:color w:val="auto"/>
          <w:sz w:val="22"/>
          <w:szCs w:val="22"/>
        </w:rPr>
      </w:pPr>
      <w:r>
        <w:rPr>
          <w:color w:val="auto"/>
          <w:sz w:val="22"/>
          <w:szCs w:val="22"/>
          <w:lang w:val="en-GB"/>
        </w:rPr>
        <w:t>R E G U L A T I O N</w:t>
      </w:r>
      <w:r>
        <w:rPr>
          <w:b w:val="0"/>
          <w:bCs w:val="0"/>
          <w:color w:val="auto"/>
          <w:sz w:val="22"/>
          <w:szCs w:val="22"/>
          <w:lang w:val="en-GB"/>
        </w:rPr>
        <w:br/>
      </w:r>
      <w:r>
        <w:rPr>
          <w:color w:val="auto"/>
          <w:sz w:val="22"/>
          <w:szCs w:val="22"/>
          <w:lang w:val="en-GB"/>
        </w:rPr>
        <w:t>on the criteria for designation of a significant bank</w:t>
      </w:r>
    </w:p>
    <w:p w:rsidR="000B1743" w:rsidRPr="00C95D7E" w:rsidRDefault="000B1743" w:rsidP="00B979DE">
      <w:pPr>
        <w:pStyle w:val="esegmentt"/>
        <w:spacing w:after="0" w:line="240" w:lineRule="auto"/>
        <w:rPr>
          <w:color w:val="auto"/>
          <w:sz w:val="22"/>
          <w:szCs w:val="22"/>
        </w:rPr>
      </w:pPr>
    </w:p>
    <w:p w:rsidR="002B43F2" w:rsidRPr="00C95D7E" w:rsidRDefault="002B43F2" w:rsidP="00B979DE">
      <w:pPr>
        <w:pStyle w:val="esegmenth4"/>
        <w:spacing w:after="0"/>
        <w:rPr>
          <w:color w:val="auto"/>
          <w:sz w:val="22"/>
          <w:szCs w:val="22"/>
        </w:rPr>
      </w:pPr>
      <w:r>
        <w:rPr>
          <w:color w:val="auto"/>
          <w:sz w:val="22"/>
          <w:szCs w:val="22"/>
          <w:lang w:val="en-GB"/>
        </w:rPr>
        <w:t>Article 1</w:t>
      </w:r>
    </w:p>
    <w:p w:rsidR="002B43F2" w:rsidRPr="00C95D7E" w:rsidRDefault="002B43F2" w:rsidP="00B979DE">
      <w:pPr>
        <w:pStyle w:val="esegmenth4"/>
        <w:spacing w:after="0"/>
        <w:rPr>
          <w:color w:val="auto"/>
          <w:sz w:val="22"/>
          <w:szCs w:val="22"/>
        </w:rPr>
      </w:pPr>
      <w:r>
        <w:rPr>
          <w:color w:val="auto"/>
          <w:sz w:val="22"/>
          <w:szCs w:val="22"/>
          <w:lang w:val="en-GB"/>
        </w:rPr>
        <w:t>(content of regulation)</w:t>
      </w:r>
    </w:p>
    <w:p w:rsidR="00B979DE" w:rsidRPr="00C95D7E" w:rsidRDefault="00B979DE" w:rsidP="00B979DE">
      <w:pPr>
        <w:pStyle w:val="esegmenth4"/>
        <w:spacing w:after="0"/>
        <w:rPr>
          <w:color w:val="auto"/>
          <w:sz w:val="22"/>
          <w:szCs w:val="22"/>
        </w:rPr>
      </w:pPr>
    </w:p>
    <w:p w:rsidR="00966832" w:rsidRPr="00E24A59" w:rsidRDefault="007470B8" w:rsidP="00B124D6">
      <w:pPr>
        <w:pStyle w:val="esegmenth4"/>
        <w:numPr>
          <w:ilvl w:val="0"/>
          <w:numId w:val="16"/>
        </w:numPr>
        <w:tabs>
          <w:tab w:val="left" w:pos="426"/>
        </w:tabs>
        <w:spacing w:after="0"/>
        <w:ind w:left="0" w:firstLine="0"/>
        <w:jc w:val="both"/>
        <w:rPr>
          <w:b w:val="0"/>
          <w:color w:val="auto"/>
          <w:sz w:val="22"/>
          <w:szCs w:val="22"/>
        </w:rPr>
      </w:pPr>
      <w:r>
        <w:rPr>
          <w:b w:val="0"/>
          <w:bCs w:val="0"/>
          <w:color w:val="auto"/>
          <w:sz w:val="22"/>
          <w:szCs w:val="22"/>
          <w:lang w:val="en-GB"/>
        </w:rPr>
        <w:t xml:space="preserve">This regulation sets out detailed criteria for the designation of a significant bank or savings bank (hereinafter: bank) in connection with the implementation of the following requirements set out for significant banks by the ZBan-2 and Regulation (EU) No 575/2013 of the European Parliament and of the Council of 26 June 2013 on prudential requirements for credit institutions and investment firms and amending Regulation (EU) No 648/2012 (OJ L 176 of 27 June 2013, p 1; hereinafter: Regulation (EU) No 575/2013): </w:t>
      </w:r>
    </w:p>
    <w:p w:rsidR="001331F6" w:rsidRDefault="001331F6" w:rsidP="00B124D6">
      <w:pPr>
        <w:pStyle w:val="esegmenth4"/>
        <w:numPr>
          <w:ilvl w:val="0"/>
          <w:numId w:val="13"/>
        </w:numPr>
        <w:tabs>
          <w:tab w:val="left" w:pos="851"/>
        </w:tabs>
        <w:spacing w:after="0"/>
        <w:ind w:left="426" w:firstLine="0"/>
        <w:jc w:val="both"/>
        <w:rPr>
          <w:b w:val="0"/>
          <w:color w:val="auto"/>
          <w:sz w:val="22"/>
          <w:szCs w:val="22"/>
        </w:rPr>
      </w:pPr>
      <w:r>
        <w:rPr>
          <w:b w:val="0"/>
          <w:bCs w:val="0"/>
          <w:color w:val="auto"/>
          <w:sz w:val="22"/>
          <w:szCs w:val="22"/>
          <w:lang w:val="en-GB"/>
        </w:rPr>
        <w:t>in connection with the conditions for members of the management body who simultaneously hold several directorships (third paragraph of Article 36 of the ZBan-2),</w:t>
      </w:r>
    </w:p>
    <w:p w:rsidR="00CA3E8F" w:rsidRPr="00C95D7E" w:rsidRDefault="00CA3E8F" w:rsidP="00B124D6">
      <w:pPr>
        <w:pStyle w:val="esegmenth4"/>
        <w:numPr>
          <w:ilvl w:val="0"/>
          <w:numId w:val="13"/>
        </w:numPr>
        <w:tabs>
          <w:tab w:val="left" w:pos="851"/>
        </w:tabs>
        <w:spacing w:after="0"/>
        <w:ind w:left="426" w:firstLine="0"/>
        <w:jc w:val="both"/>
        <w:rPr>
          <w:b w:val="0"/>
          <w:color w:val="auto"/>
          <w:sz w:val="22"/>
          <w:szCs w:val="22"/>
        </w:rPr>
      </w:pPr>
      <w:r>
        <w:rPr>
          <w:b w:val="0"/>
          <w:bCs w:val="0"/>
          <w:color w:val="auto"/>
          <w:sz w:val="22"/>
          <w:szCs w:val="22"/>
          <w:lang w:val="en-GB"/>
        </w:rPr>
        <w:t>in connection with the appointment of a remuneration committee and a nomination committee (fourth paragraph of Article 49 of the ZBan-2),</w:t>
      </w:r>
    </w:p>
    <w:p w:rsidR="002974C9" w:rsidRPr="00C95D7E" w:rsidRDefault="002974C9" w:rsidP="00B124D6">
      <w:pPr>
        <w:pStyle w:val="esegmenth4"/>
        <w:numPr>
          <w:ilvl w:val="0"/>
          <w:numId w:val="13"/>
        </w:numPr>
        <w:tabs>
          <w:tab w:val="left" w:pos="851"/>
        </w:tabs>
        <w:spacing w:after="0"/>
        <w:ind w:left="426" w:firstLine="0"/>
        <w:jc w:val="both"/>
        <w:rPr>
          <w:b w:val="0"/>
          <w:color w:val="auto"/>
          <w:sz w:val="22"/>
          <w:szCs w:val="22"/>
        </w:rPr>
      </w:pPr>
      <w:r>
        <w:rPr>
          <w:b w:val="0"/>
          <w:bCs w:val="0"/>
          <w:color w:val="auto"/>
          <w:sz w:val="22"/>
          <w:szCs w:val="22"/>
          <w:lang w:val="en-GB"/>
        </w:rPr>
        <w:t xml:space="preserve">with regard to the establishment of a compliance department (first paragraph of Article 146 of the ZBan-2),  </w:t>
      </w:r>
    </w:p>
    <w:p w:rsidR="00966832" w:rsidRPr="00C95D7E" w:rsidRDefault="00192B81" w:rsidP="00B124D6">
      <w:pPr>
        <w:pStyle w:val="esegmenth4"/>
        <w:numPr>
          <w:ilvl w:val="0"/>
          <w:numId w:val="13"/>
        </w:numPr>
        <w:tabs>
          <w:tab w:val="left" w:pos="851"/>
        </w:tabs>
        <w:spacing w:after="0"/>
        <w:ind w:left="426" w:firstLine="0"/>
        <w:jc w:val="both"/>
        <w:rPr>
          <w:b w:val="0"/>
          <w:color w:val="auto"/>
          <w:sz w:val="22"/>
          <w:szCs w:val="22"/>
        </w:rPr>
      </w:pPr>
      <w:r>
        <w:rPr>
          <w:b w:val="0"/>
          <w:bCs w:val="0"/>
          <w:color w:val="auto"/>
          <w:sz w:val="22"/>
          <w:szCs w:val="22"/>
          <w:lang w:val="en-GB"/>
        </w:rPr>
        <w:t xml:space="preserve">with regard to the disclosure of quantitative information in connection with remuneration at the level of members of the bank’s management body (Article 450(2) of Regulation (EU) No 575/2013),  </w:t>
      </w:r>
    </w:p>
    <w:p w:rsidR="00966832" w:rsidRPr="00C95D7E" w:rsidRDefault="002974C9" w:rsidP="00B124D6">
      <w:pPr>
        <w:pStyle w:val="esegmenth4"/>
        <w:numPr>
          <w:ilvl w:val="0"/>
          <w:numId w:val="13"/>
        </w:numPr>
        <w:tabs>
          <w:tab w:val="left" w:pos="851"/>
        </w:tabs>
        <w:spacing w:after="0"/>
        <w:ind w:left="426" w:firstLine="0"/>
        <w:jc w:val="both"/>
        <w:rPr>
          <w:b w:val="0"/>
          <w:color w:val="auto"/>
          <w:sz w:val="22"/>
          <w:szCs w:val="22"/>
        </w:rPr>
      </w:pPr>
      <w:r>
        <w:rPr>
          <w:b w:val="0"/>
          <w:bCs w:val="0"/>
          <w:color w:val="auto"/>
          <w:sz w:val="22"/>
          <w:szCs w:val="22"/>
          <w:lang w:val="en-GB"/>
        </w:rPr>
        <w:t xml:space="preserve">with regard to disclosures on an individual or sub-consolidated basis for significant subsidiary banks (second sub-paragraph of Article 13(1) and Article 13(2) of Regulation (EU) No 575/2013). </w:t>
      </w:r>
    </w:p>
    <w:p w:rsidR="00D8731B" w:rsidRPr="00C95D7E" w:rsidRDefault="00D8731B" w:rsidP="00D8731B">
      <w:pPr>
        <w:pStyle w:val="esegmenth4"/>
        <w:spacing w:after="0"/>
        <w:jc w:val="both"/>
        <w:rPr>
          <w:b w:val="0"/>
          <w:color w:val="auto"/>
          <w:sz w:val="22"/>
          <w:szCs w:val="22"/>
        </w:rPr>
      </w:pPr>
    </w:p>
    <w:p w:rsidR="007470B8" w:rsidRPr="00C95D7E" w:rsidRDefault="00D8731B" w:rsidP="00B124D6">
      <w:pPr>
        <w:pStyle w:val="esegmenth4"/>
        <w:numPr>
          <w:ilvl w:val="0"/>
          <w:numId w:val="16"/>
        </w:numPr>
        <w:tabs>
          <w:tab w:val="left" w:pos="426"/>
        </w:tabs>
        <w:spacing w:after="0"/>
        <w:ind w:left="0" w:firstLine="0"/>
        <w:jc w:val="both"/>
        <w:rPr>
          <w:b w:val="0"/>
          <w:color w:val="auto"/>
          <w:sz w:val="22"/>
          <w:szCs w:val="22"/>
        </w:rPr>
      </w:pPr>
      <w:r>
        <w:rPr>
          <w:b w:val="0"/>
          <w:bCs w:val="0"/>
          <w:color w:val="auto"/>
          <w:sz w:val="22"/>
          <w:szCs w:val="22"/>
          <w:lang w:val="en-GB"/>
        </w:rPr>
        <w:t xml:space="preserve">Wherever this regulation refers to the provisions of other regulations, such provisions shall apply in their wording applicable at the time in question. </w:t>
      </w:r>
    </w:p>
    <w:p w:rsidR="00B979DE" w:rsidRPr="00C95D7E" w:rsidRDefault="00B979DE" w:rsidP="00B979DE">
      <w:pPr>
        <w:pStyle w:val="esegmenth4"/>
        <w:spacing w:after="0"/>
        <w:rPr>
          <w:color w:val="auto"/>
          <w:sz w:val="22"/>
          <w:szCs w:val="22"/>
        </w:rPr>
      </w:pPr>
    </w:p>
    <w:p w:rsidR="00CE5FCE" w:rsidRPr="00C95D7E" w:rsidRDefault="00CE5FCE" w:rsidP="00B979DE">
      <w:pPr>
        <w:pStyle w:val="esegmenth4"/>
        <w:spacing w:after="0"/>
        <w:rPr>
          <w:color w:val="auto"/>
          <w:sz w:val="22"/>
          <w:szCs w:val="22"/>
        </w:rPr>
      </w:pPr>
      <w:r>
        <w:rPr>
          <w:color w:val="auto"/>
          <w:sz w:val="22"/>
          <w:szCs w:val="22"/>
          <w:lang w:val="en-GB"/>
        </w:rPr>
        <w:t>Article 2</w:t>
      </w:r>
    </w:p>
    <w:p w:rsidR="00CE5FCE" w:rsidRPr="00C95D7E" w:rsidRDefault="00CE5FCE" w:rsidP="00B979DE">
      <w:pPr>
        <w:pStyle w:val="esegmenth4"/>
        <w:spacing w:after="0"/>
        <w:rPr>
          <w:color w:val="auto"/>
          <w:sz w:val="22"/>
          <w:szCs w:val="22"/>
        </w:rPr>
      </w:pPr>
      <w:r>
        <w:rPr>
          <w:color w:val="auto"/>
          <w:sz w:val="22"/>
          <w:szCs w:val="22"/>
          <w:lang w:val="en-GB"/>
        </w:rPr>
        <w:t>(definition of terms)</w:t>
      </w:r>
    </w:p>
    <w:p w:rsidR="00B979DE" w:rsidRPr="00C95D7E" w:rsidRDefault="00B979DE" w:rsidP="00B979DE">
      <w:pPr>
        <w:pStyle w:val="esegmenth4"/>
        <w:spacing w:after="0"/>
        <w:rPr>
          <w:color w:val="auto"/>
          <w:sz w:val="22"/>
          <w:szCs w:val="22"/>
        </w:rPr>
      </w:pPr>
    </w:p>
    <w:p w:rsidR="00CE5FCE" w:rsidRDefault="00CE5FCE" w:rsidP="00E24A59">
      <w:pPr>
        <w:pStyle w:val="esegmenth4"/>
        <w:tabs>
          <w:tab w:val="left" w:pos="426"/>
        </w:tabs>
        <w:spacing w:after="0"/>
        <w:ind w:firstLine="426"/>
        <w:jc w:val="both"/>
        <w:rPr>
          <w:b w:val="0"/>
          <w:color w:val="auto"/>
          <w:sz w:val="22"/>
          <w:szCs w:val="22"/>
        </w:rPr>
      </w:pPr>
      <w:r>
        <w:rPr>
          <w:b w:val="0"/>
          <w:bCs w:val="0"/>
          <w:color w:val="auto"/>
          <w:sz w:val="22"/>
          <w:szCs w:val="22"/>
          <w:lang w:val="en-GB"/>
        </w:rPr>
        <w:t xml:space="preserve">The terms used in this regulation shall have the same meanings as in the ZBan-2 and Regulation (EU) No 575/2013, and in regulations issued on their basis. </w:t>
      </w:r>
    </w:p>
    <w:p w:rsidR="00B979DE" w:rsidRPr="00C95D7E" w:rsidRDefault="00B979DE" w:rsidP="00B979DE">
      <w:pPr>
        <w:pStyle w:val="esegmenth4"/>
        <w:spacing w:after="0"/>
        <w:jc w:val="both"/>
        <w:rPr>
          <w:b w:val="0"/>
          <w:color w:val="auto"/>
          <w:sz w:val="22"/>
          <w:szCs w:val="22"/>
        </w:rPr>
      </w:pPr>
    </w:p>
    <w:p w:rsidR="00C13B0E" w:rsidRPr="00C95D7E" w:rsidRDefault="00C13B0E" w:rsidP="00C13B0E">
      <w:pPr>
        <w:pStyle w:val="esegmenth4"/>
        <w:spacing w:after="0"/>
        <w:rPr>
          <w:color w:val="auto"/>
          <w:sz w:val="22"/>
          <w:szCs w:val="22"/>
        </w:rPr>
      </w:pPr>
      <w:r>
        <w:rPr>
          <w:color w:val="auto"/>
          <w:sz w:val="22"/>
          <w:szCs w:val="22"/>
          <w:lang w:val="en-GB"/>
        </w:rPr>
        <w:t>Article 3</w:t>
      </w:r>
    </w:p>
    <w:p w:rsidR="00C13B0E" w:rsidRPr="00C95D7E" w:rsidRDefault="00C13B0E" w:rsidP="00C13B0E">
      <w:pPr>
        <w:pStyle w:val="esegmenth4"/>
        <w:spacing w:after="0"/>
        <w:rPr>
          <w:color w:val="auto"/>
          <w:sz w:val="22"/>
          <w:szCs w:val="22"/>
        </w:rPr>
      </w:pPr>
      <w:r>
        <w:rPr>
          <w:color w:val="auto"/>
          <w:sz w:val="22"/>
          <w:szCs w:val="22"/>
          <w:lang w:val="en-GB"/>
        </w:rPr>
        <w:t xml:space="preserve">(criteria for designation of </w:t>
      </w:r>
      <w:r w:rsidR="00B4294E">
        <w:rPr>
          <w:color w:val="auto"/>
          <w:sz w:val="22"/>
          <w:szCs w:val="22"/>
          <w:lang w:val="en-GB"/>
        </w:rPr>
        <w:t xml:space="preserve">a </w:t>
      </w:r>
      <w:r>
        <w:rPr>
          <w:color w:val="auto"/>
          <w:sz w:val="22"/>
          <w:szCs w:val="22"/>
          <w:lang w:val="en-GB"/>
        </w:rPr>
        <w:t>significant bank)</w:t>
      </w:r>
    </w:p>
    <w:p w:rsidR="00C13B0E" w:rsidRPr="00C95D7E" w:rsidRDefault="00C13B0E" w:rsidP="00C13B0E">
      <w:pPr>
        <w:pStyle w:val="esegmenth4"/>
        <w:spacing w:after="0"/>
        <w:rPr>
          <w:color w:val="auto"/>
          <w:sz w:val="22"/>
          <w:szCs w:val="22"/>
        </w:rPr>
      </w:pPr>
    </w:p>
    <w:p w:rsidR="003B486A" w:rsidRPr="00281F4D" w:rsidRDefault="00B124D6" w:rsidP="00281F4D">
      <w:pPr>
        <w:pStyle w:val="esegmenth4"/>
        <w:numPr>
          <w:ilvl w:val="0"/>
          <w:numId w:val="19"/>
        </w:numPr>
        <w:tabs>
          <w:tab w:val="left" w:pos="426"/>
        </w:tabs>
        <w:spacing w:after="0"/>
        <w:ind w:left="0" w:firstLine="0"/>
        <w:jc w:val="both"/>
        <w:rPr>
          <w:b w:val="0"/>
          <w:color w:val="auto"/>
          <w:sz w:val="22"/>
          <w:szCs w:val="22"/>
        </w:rPr>
      </w:pPr>
      <w:r>
        <w:rPr>
          <w:b w:val="0"/>
          <w:bCs w:val="0"/>
          <w:color w:val="auto"/>
          <w:sz w:val="22"/>
          <w:szCs w:val="22"/>
          <w:lang w:val="en-GB"/>
        </w:rPr>
        <w:t xml:space="preserve">For the purpose of the designation of a significant bank under point 22 of the first paragraph of Article 7 of the ZBan-2, the criteria taken into account shall be those defined by the Regulation on the application of the Guidelines on the criteria to determine the conditions of application of Article 131(3) of Directive 2013/36/EU (CRD) in relation to the assessment of other systemically important institutions (O-SIIs) (Official Gazette of the Republic of Slovenia, Nos. 66/15 and 68/17). </w:t>
      </w:r>
    </w:p>
    <w:p w:rsidR="009602E4" w:rsidRPr="00C95D7E" w:rsidRDefault="009602E4" w:rsidP="009602E4">
      <w:pPr>
        <w:pStyle w:val="esegmenth4"/>
        <w:spacing w:after="0"/>
        <w:ind w:left="360"/>
        <w:jc w:val="both"/>
        <w:rPr>
          <w:b w:val="0"/>
          <w:color w:val="auto"/>
          <w:sz w:val="22"/>
          <w:szCs w:val="22"/>
        </w:rPr>
      </w:pPr>
    </w:p>
    <w:p w:rsidR="00281F4D" w:rsidRPr="00281F4D" w:rsidRDefault="000E45DC" w:rsidP="00281F4D">
      <w:pPr>
        <w:pStyle w:val="esegmenth4"/>
        <w:numPr>
          <w:ilvl w:val="0"/>
          <w:numId w:val="19"/>
        </w:numPr>
        <w:tabs>
          <w:tab w:val="left" w:pos="426"/>
        </w:tabs>
        <w:spacing w:after="0"/>
        <w:ind w:left="0" w:firstLine="0"/>
        <w:jc w:val="both"/>
        <w:rPr>
          <w:b w:val="0"/>
          <w:color w:val="auto"/>
          <w:sz w:val="22"/>
          <w:szCs w:val="22"/>
        </w:rPr>
      </w:pPr>
      <w:r>
        <w:rPr>
          <w:b w:val="0"/>
          <w:bCs w:val="0"/>
          <w:color w:val="auto"/>
          <w:sz w:val="22"/>
          <w:szCs w:val="22"/>
          <w:lang w:val="en-GB"/>
        </w:rPr>
        <w:t xml:space="preserve">Having regard for the first paragraph of this article, a bank that has </w:t>
      </w:r>
      <w:r w:rsidR="00B4294E">
        <w:rPr>
          <w:b w:val="0"/>
          <w:bCs w:val="0"/>
          <w:color w:val="auto"/>
          <w:sz w:val="22"/>
          <w:szCs w:val="22"/>
          <w:lang w:val="en-GB"/>
        </w:rPr>
        <w:t xml:space="preserve">been designated as an </w:t>
      </w:r>
      <w:r>
        <w:rPr>
          <w:b w:val="0"/>
          <w:bCs w:val="0"/>
          <w:color w:val="auto"/>
          <w:sz w:val="22"/>
          <w:szCs w:val="22"/>
          <w:lang w:val="en-GB"/>
        </w:rPr>
        <w:t xml:space="preserve">other systemically important institution pursuant to Article 219 of the ZBan-2 shall be designated by the Bank of Slovenia as a significant bank under point 22 of the first paragraph of Article 7 of the ZBan-2. </w:t>
      </w:r>
    </w:p>
    <w:p w:rsidR="00281F4D" w:rsidRDefault="00281F4D" w:rsidP="00281F4D">
      <w:pPr>
        <w:pStyle w:val="Odstavekseznama"/>
        <w:rPr>
          <w:b/>
          <w:highlight w:val="yellow"/>
        </w:rPr>
      </w:pPr>
    </w:p>
    <w:p w:rsidR="00711A28" w:rsidRPr="00D73F6A" w:rsidRDefault="000E45DC" w:rsidP="00D73F6A">
      <w:pPr>
        <w:pStyle w:val="esegmenth4"/>
        <w:numPr>
          <w:ilvl w:val="0"/>
          <w:numId w:val="19"/>
        </w:numPr>
        <w:tabs>
          <w:tab w:val="left" w:pos="426"/>
        </w:tabs>
        <w:spacing w:after="0"/>
        <w:ind w:left="0" w:firstLine="0"/>
        <w:jc w:val="both"/>
        <w:rPr>
          <w:b w:val="0"/>
          <w:color w:val="auto"/>
          <w:sz w:val="22"/>
          <w:szCs w:val="22"/>
        </w:rPr>
      </w:pPr>
      <w:r>
        <w:rPr>
          <w:b w:val="0"/>
          <w:bCs w:val="0"/>
          <w:color w:val="auto"/>
          <w:sz w:val="22"/>
          <w:szCs w:val="22"/>
          <w:lang w:val="en-GB"/>
        </w:rPr>
        <w:t>The first and second paragraphs of this article notwithstanding, a bank that does not meet the criteria for designation as a significant bank may be designated as a significant bank by the Bank of Slovenia when owing to its attributes the bank could have a substantial impact on the financial system of the Republic of Slovenia in the event of a considerable deterioration in its operations, or its winding-up or the cessation of its activities.</w:t>
      </w:r>
    </w:p>
    <w:p w:rsidR="009A2F85" w:rsidRDefault="009A2F85" w:rsidP="006065CB">
      <w:pPr>
        <w:pStyle w:val="esegmenth4"/>
        <w:spacing w:after="0"/>
        <w:jc w:val="both"/>
        <w:rPr>
          <w:b w:val="0"/>
          <w:color w:val="auto"/>
          <w:sz w:val="22"/>
          <w:szCs w:val="22"/>
          <w:highlight w:val="yellow"/>
        </w:rPr>
      </w:pPr>
    </w:p>
    <w:p w:rsidR="00D21C59" w:rsidRPr="000521FA" w:rsidRDefault="00C13B0E" w:rsidP="00B979DE">
      <w:pPr>
        <w:pStyle w:val="esegmenth4"/>
        <w:spacing w:after="0"/>
        <w:rPr>
          <w:color w:val="auto"/>
          <w:sz w:val="22"/>
          <w:szCs w:val="22"/>
        </w:rPr>
      </w:pPr>
      <w:r>
        <w:rPr>
          <w:color w:val="auto"/>
          <w:sz w:val="22"/>
          <w:szCs w:val="22"/>
          <w:lang w:val="en-GB"/>
        </w:rPr>
        <w:t>Article 4</w:t>
      </w:r>
    </w:p>
    <w:p w:rsidR="00D21C59" w:rsidRPr="000521FA" w:rsidRDefault="00D21C59" w:rsidP="00B979DE">
      <w:pPr>
        <w:pStyle w:val="esegmenth4"/>
        <w:spacing w:after="0"/>
        <w:rPr>
          <w:color w:val="auto"/>
          <w:sz w:val="22"/>
          <w:szCs w:val="22"/>
        </w:rPr>
      </w:pPr>
      <w:r>
        <w:rPr>
          <w:color w:val="auto"/>
          <w:sz w:val="22"/>
          <w:szCs w:val="22"/>
          <w:lang w:val="en-GB"/>
        </w:rPr>
        <w:t xml:space="preserve">(decision on designation of </w:t>
      </w:r>
      <w:r w:rsidR="00B4294E">
        <w:rPr>
          <w:color w:val="auto"/>
          <w:sz w:val="22"/>
          <w:szCs w:val="22"/>
          <w:lang w:val="en-GB"/>
        </w:rPr>
        <w:t xml:space="preserve">a </w:t>
      </w:r>
      <w:r>
        <w:rPr>
          <w:color w:val="auto"/>
          <w:sz w:val="22"/>
          <w:szCs w:val="22"/>
          <w:lang w:val="en-GB"/>
        </w:rPr>
        <w:t>significant bank)</w:t>
      </w:r>
    </w:p>
    <w:p w:rsidR="00B979DE" w:rsidRPr="00B124D6" w:rsidRDefault="00B979DE" w:rsidP="00B979DE">
      <w:pPr>
        <w:pStyle w:val="esegmenth4"/>
        <w:spacing w:after="0"/>
        <w:rPr>
          <w:color w:val="auto"/>
          <w:sz w:val="22"/>
          <w:szCs w:val="22"/>
          <w:highlight w:val="yellow"/>
        </w:rPr>
      </w:pPr>
    </w:p>
    <w:p w:rsidR="00C13B0E" w:rsidRPr="007E2A39" w:rsidRDefault="00DB5211" w:rsidP="007E2A39">
      <w:pPr>
        <w:pStyle w:val="Navadensplet"/>
        <w:numPr>
          <w:ilvl w:val="0"/>
          <w:numId w:val="18"/>
        </w:numPr>
        <w:tabs>
          <w:tab w:val="left" w:pos="426"/>
        </w:tabs>
        <w:spacing w:after="0"/>
        <w:ind w:left="0" w:firstLine="0"/>
        <w:jc w:val="both"/>
        <w:rPr>
          <w:color w:val="auto"/>
          <w:sz w:val="22"/>
          <w:szCs w:val="22"/>
        </w:rPr>
      </w:pPr>
      <w:r>
        <w:rPr>
          <w:color w:val="auto"/>
          <w:sz w:val="22"/>
          <w:szCs w:val="22"/>
          <w:lang w:val="en-GB"/>
        </w:rPr>
        <w:t>Via a decision the Bank of Slovenia shall determine that the criteria set out in Article 3 of this regulation have been met, and shall designate the bank as a significant bank.</w:t>
      </w:r>
    </w:p>
    <w:p w:rsidR="00263193" w:rsidRPr="00B124D6" w:rsidRDefault="00263193" w:rsidP="009407F6">
      <w:pPr>
        <w:pStyle w:val="Navadensplet"/>
        <w:spacing w:after="0"/>
        <w:jc w:val="both"/>
        <w:rPr>
          <w:color w:val="auto"/>
          <w:sz w:val="22"/>
          <w:szCs w:val="22"/>
          <w:highlight w:val="yellow"/>
        </w:rPr>
      </w:pPr>
    </w:p>
    <w:p w:rsidR="00263193" w:rsidRPr="000521FA" w:rsidRDefault="00263193" w:rsidP="000521FA">
      <w:pPr>
        <w:pStyle w:val="Navadensplet"/>
        <w:numPr>
          <w:ilvl w:val="0"/>
          <w:numId w:val="18"/>
        </w:numPr>
        <w:tabs>
          <w:tab w:val="left" w:pos="426"/>
        </w:tabs>
        <w:spacing w:after="0"/>
        <w:ind w:left="0" w:firstLine="0"/>
        <w:jc w:val="both"/>
        <w:rPr>
          <w:color w:val="auto"/>
          <w:sz w:val="22"/>
          <w:szCs w:val="22"/>
        </w:rPr>
      </w:pPr>
      <w:r>
        <w:rPr>
          <w:color w:val="auto"/>
          <w:sz w:val="22"/>
          <w:szCs w:val="22"/>
          <w:lang w:val="en-GB"/>
        </w:rPr>
        <w:t>A bank designated via a decision as a significant bank pursuant to Article 3 of this regulation shall meet all the requirements set out in the first paragraph of Article 1 of this regulation, with the exception of the requirement set out in point (e), if it is a bank that is not a subsidiary bank referred to in Article 13 of Regulation (EU) No 575/2013.</w:t>
      </w:r>
    </w:p>
    <w:p w:rsidR="0061367E" w:rsidRPr="00B124D6" w:rsidRDefault="0061367E" w:rsidP="00A60067">
      <w:pPr>
        <w:pStyle w:val="Navadensplet"/>
        <w:spacing w:after="0"/>
        <w:jc w:val="both"/>
        <w:rPr>
          <w:color w:val="auto"/>
          <w:sz w:val="22"/>
          <w:szCs w:val="22"/>
          <w:highlight w:val="yellow"/>
        </w:rPr>
      </w:pPr>
    </w:p>
    <w:p w:rsidR="0000406D" w:rsidRPr="006D0512" w:rsidRDefault="0000406D" w:rsidP="006D0512">
      <w:pPr>
        <w:pStyle w:val="Navadensplet"/>
        <w:numPr>
          <w:ilvl w:val="0"/>
          <w:numId w:val="18"/>
        </w:numPr>
        <w:tabs>
          <w:tab w:val="left" w:pos="426"/>
        </w:tabs>
        <w:spacing w:after="0"/>
        <w:ind w:left="0" w:firstLine="0"/>
        <w:jc w:val="both"/>
        <w:rPr>
          <w:color w:val="auto"/>
          <w:sz w:val="22"/>
          <w:szCs w:val="22"/>
        </w:rPr>
      </w:pPr>
      <w:r>
        <w:rPr>
          <w:color w:val="auto"/>
          <w:sz w:val="22"/>
          <w:szCs w:val="22"/>
          <w:lang w:val="en-GB"/>
        </w:rPr>
        <w:t xml:space="preserve">If after the issue of the decision on the designation of a significant bank there arise circumstances based on which the bank no longer meets the criteria set out in Article 3 of this regulation, the Bank of Slovenia shall, at the bank’s proposal or </w:t>
      </w:r>
      <w:r>
        <w:rPr>
          <w:i/>
          <w:iCs/>
          <w:color w:val="auto"/>
          <w:sz w:val="22"/>
          <w:szCs w:val="22"/>
          <w:lang w:val="en-GB"/>
        </w:rPr>
        <w:t>ex officio</w:t>
      </w:r>
      <w:r>
        <w:rPr>
          <w:color w:val="auto"/>
          <w:sz w:val="22"/>
          <w:szCs w:val="22"/>
          <w:lang w:val="en-GB"/>
        </w:rPr>
        <w:t>, issue a decision to withdraw its status as a significant bank.</w:t>
      </w:r>
    </w:p>
    <w:p w:rsidR="006D0512" w:rsidRDefault="006D0512" w:rsidP="00B979DE">
      <w:pPr>
        <w:pStyle w:val="esegmenth4"/>
        <w:spacing w:after="0"/>
        <w:jc w:val="both"/>
        <w:rPr>
          <w:b w:val="0"/>
          <w:color w:val="auto"/>
          <w:sz w:val="22"/>
          <w:szCs w:val="22"/>
          <w:highlight w:val="yellow"/>
        </w:rPr>
      </w:pPr>
    </w:p>
    <w:p w:rsidR="006D0512" w:rsidRDefault="006D0512" w:rsidP="006D0512">
      <w:pPr>
        <w:jc w:val="center"/>
        <w:rPr>
          <w:b/>
        </w:rPr>
      </w:pPr>
      <w:r>
        <w:rPr>
          <w:b/>
          <w:bCs/>
          <w:lang w:val="en-GB"/>
        </w:rPr>
        <w:t>Article 5</w:t>
      </w:r>
    </w:p>
    <w:p w:rsidR="006D0512" w:rsidRDefault="006D0512" w:rsidP="006D0512">
      <w:pPr>
        <w:jc w:val="center"/>
        <w:rPr>
          <w:b/>
        </w:rPr>
      </w:pPr>
      <w:r>
        <w:rPr>
          <w:b/>
          <w:bCs/>
          <w:lang w:val="en-GB"/>
        </w:rPr>
        <w:t>(cessation of validity)</w:t>
      </w:r>
    </w:p>
    <w:p w:rsidR="006D0512" w:rsidRDefault="006D0512" w:rsidP="006D0512">
      <w:pPr>
        <w:jc w:val="center"/>
        <w:rPr>
          <w:b/>
        </w:rPr>
      </w:pPr>
    </w:p>
    <w:p w:rsidR="006D0512" w:rsidRDefault="006D0512" w:rsidP="00191F46">
      <w:pPr>
        <w:pStyle w:val="Odstavekseznama"/>
        <w:tabs>
          <w:tab w:val="left" w:pos="426"/>
        </w:tabs>
        <w:ind w:left="0" w:firstLine="426"/>
        <w:jc w:val="both"/>
      </w:pPr>
      <w:r>
        <w:rPr>
          <w:lang w:val="en-GB"/>
        </w:rPr>
        <w:t>On the day that this regulation enters into force, the Regulation on the criteria for designation of a significant bank (Official Gazette of the Republic of Slovenia, No. 41/15) shall cease to be in force.</w:t>
      </w:r>
    </w:p>
    <w:p w:rsidR="006D0512" w:rsidRDefault="006D0512" w:rsidP="00B979DE">
      <w:pPr>
        <w:pStyle w:val="esegmenth4"/>
        <w:spacing w:after="0"/>
        <w:jc w:val="both"/>
        <w:rPr>
          <w:b w:val="0"/>
          <w:color w:val="auto"/>
          <w:sz w:val="22"/>
          <w:szCs w:val="22"/>
          <w:highlight w:val="yellow"/>
        </w:rPr>
      </w:pPr>
    </w:p>
    <w:p w:rsidR="00DE5B8B" w:rsidRDefault="00DE5B8B" w:rsidP="00DE5B8B">
      <w:pPr>
        <w:jc w:val="center"/>
        <w:rPr>
          <w:b/>
        </w:rPr>
      </w:pPr>
      <w:r>
        <w:rPr>
          <w:b/>
          <w:bCs/>
          <w:lang w:val="en-GB"/>
        </w:rPr>
        <w:t>Article 6</w:t>
      </w:r>
    </w:p>
    <w:p w:rsidR="00DE5B8B" w:rsidRDefault="00DE5B8B" w:rsidP="00DE5B8B">
      <w:pPr>
        <w:jc w:val="center"/>
        <w:rPr>
          <w:b/>
        </w:rPr>
      </w:pPr>
      <w:r>
        <w:rPr>
          <w:b/>
          <w:bCs/>
          <w:lang w:val="en-GB"/>
        </w:rPr>
        <w:t>(continued validity of decisions)</w:t>
      </w:r>
    </w:p>
    <w:p w:rsidR="00DE5B8B" w:rsidRDefault="00DE5B8B" w:rsidP="00DE5B8B">
      <w:pPr>
        <w:jc w:val="center"/>
        <w:rPr>
          <w:b/>
        </w:rPr>
      </w:pPr>
    </w:p>
    <w:p w:rsidR="00DE5B8B" w:rsidRDefault="00DE5B8B" w:rsidP="00191F46">
      <w:pPr>
        <w:tabs>
          <w:tab w:val="left" w:pos="426"/>
        </w:tabs>
        <w:ind w:firstLine="426"/>
        <w:jc w:val="both"/>
      </w:pPr>
      <w:r>
        <w:rPr>
          <w:lang w:val="en-GB"/>
        </w:rPr>
        <w:t xml:space="preserve">Decisions on the designation of significant banks issued pursuant to the Regulation on the criteria for designation of a significant bank (Official Gazette of the Republic of Slovenia, No. 41/15) shall be deemed valid and enforceable until the issue of new decisions pursuant to this regulation. </w:t>
      </w:r>
    </w:p>
    <w:p w:rsidR="009B3C94" w:rsidRDefault="009B3C94" w:rsidP="00B979DE">
      <w:pPr>
        <w:pStyle w:val="esegmenth4"/>
        <w:spacing w:after="0"/>
        <w:rPr>
          <w:color w:val="auto"/>
          <w:sz w:val="22"/>
          <w:szCs w:val="22"/>
        </w:rPr>
      </w:pPr>
    </w:p>
    <w:p w:rsidR="009B3C94" w:rsidRDefault="009B3C94" w:rsidP="009B3C94">
      <w:pPr>
        <w:jc w:val="center"/>
        <w:rPr>
          <w:b/>
        </w:rPr>
      </w:pPr>
      <w:r>
        <w:rPr>
          <w:b/>
          <w:bCs/>
          <w:lang w:val="en-GB"/>
        </w:rPr>
        <w:t>Article 7</w:t>
      </w:r>
    </w:p>
    <w:p w:rsidR="009B3C94" w:rsidRDefault="009B3C94" w:rsidP="009B3C94">
      <w:pPr>
        <w:jc w:val="center"/>
        <w:rPr>
          <w:b/>
        </w:rPr>
      </w:pPr>
      <w:r>
        <w:rPr>
          <w:b/>
          <w:bCs/>
          <w:lang w:val="en-GB"/>
        </w:rPr>
        <w:t>(compliance with requirements)</w:t>
      </w:r>
    </w:p>
    <w:p w:rsidR="009B3C94" w:rsidRDefault="009B3C94" w:rsidP="009B3C94">
      <w:pPr>
        <w:jc w:val="center"/>
        <w:rPr>
          <w:b/>
        </w:rPr>
      </w:pPr>
    </w:p>
    <w:p w:rsidR="00C9518E" w:rsidRDefault="0090468E" w:rsidP="001E2A2D">
      <w:pPr>
        <w:pStyle w:val="Odstavekseznama"/>
        <w:numPr>
          <w:ilvl w:val="0"/>
          <w:numId w:val="22"/>
        </w:numPr>
        <w:tabs>
          <w:tab w:val="left" w:pos="426"/>
        </w:tabs>
        <w:ind w:left="0" w:firstLine="0"/>
        <w:jc w:val="both"/>
      </w:pPr>
      <w:r>
        <w:rPr>
          <w:lang w:val="en-GB"/>
        </w:rPr>
        <w:t>When in accordance with a decision issued pursuant to this regulation there is a change in the requirements for a bank, the bank shall comply with the new requirements within three months of the day that it received the decision.</w:t>
      </w:r>
    </w:p>
    <w:p w:rsidR="00C9518E" w:rsidRDefault="00C9518E" w:rsidP="00C9518E">
      <w:pPr>
        <w:tabs>
          <w:tab w:val="left" w:pos="426"/>
        </w:tabs>
        <w:jc w:val="both"/>
      </w:pPr>
    </w:p>
    <w:p w:rsidR="001E2A2D" w:rsidRDefault="00C9518E" w:rsidP="001E2A2D">
      <w:pPr>
        <w:pStyle w:val="Odstavekseznama"/>
        <w:numPr>
          <w:ilvl w:val="0"/>
          <w:numId w:val="22"/>
        </w:numPr>
        <w:tabs>
          <w:tab w:val="left" w:pos="426"/>
        </w:tabs>
        <w:ind w:left="0" w:firstLine="0"/>
        <w:jc w:val="both"/>
      </w:pPr>
      <w:r>
        <w:rPr>
          <w:lang w:val="en-GB"/>
        </w:rPr>
        <w:t xml:space="preserve">The first paragraph of this article notwithstanding, the Bank of Slovenia may, at the bank’s proposal or </w:t>
      </w:r>
      <w:r>
        <w:rPr>
          <w:i/>
          <w:iCs/>
          <w:lang w:val="en-GB"/>
        </w:rPr>
        <w:t>ex officio</w:t>
      </w:r>
      <w:r>
        <w:rPr>
          <w:lang w:val="en-GB"/>
        </w:rPr>
        <w:t xml:space="preserve">, decide on a different period for the bank’s compliance with the aforementioned requirements. </w:t>
      </w:r>
    </w:p>
    <w:p w:rsidR="009B3C94" w:rsidRDefault="009B3C94" w:rsidP="00B979DE">
      <w:pPr>
        <w:pStyle w:val="esegmenth4"/>
        <w:spacing w:after="0"/>
        <w:rPr>
          <w:color w:val="auto"/>
          <w:sz w:val="22"/>
          <w:szCs w:val="22"/>
        </w:rPr>
      </w:pPr>
    </w:p>
    <w:p w:rsidR="000F7752" w:rsidRPr="00191F46" w:rsidRDefault="009B3C94" w:rsidP="00B979DE">
      <w:pPr>
        <w:pStyle w:val="esegmenth4"/>
        <w:spacing w:after="0"/>
        <w:rPr>
          <w:color w:val="auto"/>
          <w:sz w:val="22"/>
          <w:szCs w:val="22"/>
        </w:rPr>
      </w:pPr>
      <w:r>
        <w:rPr>
          <w:color w:val="auto"/>
          <w:sz w:val="22"/>
          <w:szCs w:val="22"/>
          <w:lang w:val="en-GB"/>
        </w:rPr>
        <w:t>Article 8</w:t>
      </w:r>
    </w:p>
    <w:p w:rsidR="002B43F2" w:rsidRPr="00191F46" w:rsidRDefault="00305A00" w:rsidP="00B979DE">
      <w:pPr>
        <w:pStyle w:val="esegmenth4"/>
        <w:spacing w:after="0"/>
        <w:rPr>
          <w:color w:val="auto"/>
          <w:sz w:val="22"/>
          <w:szCs w:val="22"/>
        </w:rPr>
      </w:pPr>
      <w:r>
        <w:rPr>
          <w:color w:val="auto"/>
          <w:sz w:val="22"/>
          <w:szCs w:val="22"/>
          <w:lang w:val="en-GB"/>
        </w:rPr>
        <w:t xml:space="preserve"> (entry into force)</w:t>
      </w:r>
    </w:p>
    <w:p w:rsidR="00B979DE" w:rsidRPr="00191F46" w:rsidRDefault="00B979DE" w:rsidP="00B979DE">
      <w:pPr>
        <w:pStyle w:val="esegmenth4"/>
        <w:spacing w:after="0"/>
        <w:rPr>
          <w:color w:val="auto"/>
          <w:sz w:val="22"/>
          <w:szCs w:val="22"/>
        </w:rPr>
      </w:pPr>
    </w:p>
    <w:p w:rsidR="002B43F2" w:rsidRPr="00191F46" w:rsidRDefault="002B43F2" w:rsidP="00191F46">
      <w:pPr>
        <w:pStyle w:val="Navadensplet"/>
        <w:spacing w:after="0"/>
        <w:ind w:firstLine="426"/>
        <w:jc w:val="both"/>
        <w:rPr>
          <w:color w:val="auto"/>
          <w:sz w:val="22"/>
          <w:szCs w:val="22"/>
        </w:rPr>
      </w:pPr>
      <w:r>
        <w:rPr>
          <w:color w:val="auto"/>
          <w:sz w:val="22"/>
          <w:szCs w:val="22"/>
          <w:lang w:val="en-GB"/>
        </w:rPr>
        <w:t>This regulation shall enter into force on the day after its publication in the Official Gazette of the Republic of Slovenia.</w:t>
      </w:r>
    </w:p>
    <w:p w:rsidR="000B1743" w:rsidRPr="00191F46" w:rsidRDefault="000B1743" w:rsidP="00B979DE">
      <w:pPr>
        <w:pStyle w:val="esegmentc1"/>
        <w:spacing w:after="0"/>
        <w:rPr>
          <w:color w:val="auto"/>
          <w:sz w:val="22"/>
          <w:szCs w:val="22"/>
        </w:rPr>
      </w:pPr>
    </w:p>
    <w:p w:rsidR="00F6349A" w:rsidRDefault="00F6349A" w:rsidP="00B979DE">
      <w:pPr>
        <w:pStyle w:val="esegmentc1"/>
        <w:spacing w:after="0"/>
        <w:rPr>
          <w:color w:val="auto"/>
          <w:sz w:val="22"/>
          <w:szCs w:val="22"/>
          <w:highlight w:val="yellow"/>
        </w:rPr>
      </w:pPr>
    </w:p>
    <w:p w:rsidR="00F6349A" w:rsidRPr="00191F46" w:rsidRDefault="00F6349A" w:rsidP="00B979DE">
      <w:pPr>
        <w:pStyle w:val="esegmentc1"/>
        <w:spacing w:after="0"/>
        <w:rPr>
          <w:color w:val="auto"/>
          <w:sz w:val="22"/>
          <w:szCs w:val="22"/>
        </w:rPr>
      </w:pPr>
    </w:p>
    <w:p w:rsidR="002B43F2" w:rsidRPr="00191F46" w:rsidRDefault="002B43F2" w:rsidP="00B979DE">
      <w:pPr>
        <w:pStyle w:val="esegmentc1"/>
        <w:spacing w:after="0"/>
        <w:rPr>
          <w:color w:val="auto"/>
          <w:sz w:val="22"/>
          <w:szCs w:val="22"/>
        </w:rPr>
      </w:pPr>
      <w:r>
        <w:rPr>
          <w:color w:val="auto"/>
          <w:sz w:val="22"/>
          <w:szCs w:val="22"/>
          <w:lang w:val="en-GB"/>
        </w:rPr>
        <w:t>Ljubljana, 14 March 2018</w:t>
      </w:r>
    </w:p>
    <w:p w:rsidR="000B1743" w:rsidRPr="00191F46" w:rsidRDefault="00EC4E77" w:rsidP="00B979DE">
      <w:pPr>
        <w:pStyle w:val="esegmentp1"/>
        <w:tabs>
          <w:tab w:val="center" w:pos="6804"/>
        </w:tabs>
        <w:spacing w:after="0"/>
        <w:jc w:val="left"/>
        <w:rPr>
          <w:color w:val="auto"/>
          <w:sz w:val="22"/>
          <w:szCs w:val="22"/>
        </w:rPr>
      </w:pPr>
      <w:r>
        <w:rPr>
          <w:lang w:val="en-GB"/>
        </w:rPr>
        <w:tab/>
      </w:r>
    </w:p>
    <w:p w:rsidR="000B1743" w:rsidRPr="00191F46" w:rsidRDefault="000B1743" w:rsidP="00B979DE">
      <w:pPr>
        <w:pStyle w:val="esegmentp1"/>
        <w:tabs>
          <w:tab w:val="center" w:pos="6804"/>
        </w:tabs>
        <w:spacing w:after="0"/>
        <w:jc w:val="left"/>
        <w:rPr>
          <w:color w:val="auto"/>
          <w:sz w:val="22"/>
          <w:szCs w:val="22"/>
        </w:rPr>
      </w:pPr>
    </w:p>
    <w:p w:rsidR="00EC4E77" w:rsidRPr="00191F46" w:rsidRDefault="000B1743" w:rsidP="00B979DE">
      <w:pPr>
        <w:pStyle w:val="esegmentp1"/>
        <w:tabs>
          <w:tab w:val="center" w:pos="6804"/>
        </w:tabs>
        <w:spacing w:after="0"/>
        <w:jc w:val="left"/>
        <w:rPr>
          <w:color w:val="auto"/>
          <w:sz w:val="22"/>
          <w:szCs w:val="22"/>
        </w:rPr>
      </w:pPr>
      <w:r>
        <w:rPr>
          <w:color w:val="auto"/>
          <w:sz w:val="22"/>
          <w:szCs w:val="22"/>
          <w:lang w:val="en-GB"/>
        </w:rPr>
        <w:tab/>
        <w:t>Boštjan Jazbec</w:t>
      </w:r>
    </w:p>
    <w:p w:rsidR="00EC4E77" w:rsidRPr="00191F46" w:rsidRDefault="00EC4E77" w:rsidP="00B979DE">
      <w:pPr>
        <w:pStyle w:val="esegmentp1"/>
        <w:tabs>
          <w:tab w:val="center" w:pos="6804"/>
        </w:tabs>
        <w:spacing w:after="0"/>
        <w:jc w:val="left"/>
        <w:rPr>
          <w:color w:val="auto"/>
          <w:sz w:val="22"/>
          <w:szCs w:val="22"/>
        </w:rPr>
      </w:pPr>
      <w:r>
        <w:rPr>
          <w:color w:val="auto"/>
          <w:sz w:val="22"/>
          <w:szCs w:val="22"/>
          <w:lang w:val="en-GB"/>
        </w:rPr>
        <w:tab/>
        <w:t>President,</w:t>
      </w:r>
    </w:p>
    <w:p w:rsidR="001A3A71" w:rsidRPr="007470B8" w:rsidRDefault="00EC4E77" w:rsidP="00B979DE">
      <w:pPr>
        <w:pStyle w:val="esegmentp1"/>
        <w:tabs>
          <w:tab w:val="center" w:pos="6804"/>
        </w:tabs>
        <w:spacing w:after="0"/>
        <w:jc w:val="left"/>
        <w:rPr>
          <w:sz w:val="22"/>
          <w:szCs w:val="22"/>
        </w:rPr>
      </w:pPr>
      <w:r>
        <w:rPr>
          <w:color w:val="auto"/>
          <w:sz w:val="22"/>
          <w:szCs w:val="22"/>
          <w:lang w:val="en-GB"/>
        </w:rPr>
        <w:tab/>
        <w:t>Governing Board of the Bank of Slovenia</w:t>
      </w:r>
    </w:p>
    <w:sectPr w:rsidR="001A3A71" w:rsidRPr="007470B8" w:rsidSect="000C71E5">
      <w:headerReference w:type="default" r:id="rId11"/>
      <w:footerReference w:type="default" r:id="rId12"/>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5E5" w:rsidRDefault="004275E5" w:rsidP="000A317A">
      <w:r>
        <w:separator/>
      </w:r>
    </w:p>
  </w:endnote>
  <w:endnote w:type="continuationSeparator" w:id="0">
    <w:p w:rsidR="004275E5" w:rsidRDefault="004275E5" w:rsidP="000A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462367"/>
      <w:docPartObj>
        <w:docPartGallery w:val="Page Numbers (Bottom of Page)"/>
        <w:docPartUnique/>
      </w:docPartObj>
    </w:sdtPr>
    <w:sdtEndPr/>
    <w:sdtContent>
      <w:sdt>
        <w:sdtPr>
          <w:id w:val="-1642345258"/>
          <w:docPartObj>
            <w:docPartGallery w:val="Page Numbers (Top of Page)"/>
            <w:docPartUnique/>
          </w:docPartObj>
        </w:sdtPr>
        <w:sdtEndPr/>
        <w:sdtContent>
          <w:p w:rsidR="009B3C94" w:rsidRDefault="009B3C94">
            <w:pPr>
              <w:pStyle w:val="Noga"/>
              <w:jc w:val="center"/>
            </w:pPr>
            <w:r>
              <w:rPr>
                <w:lang w:val="en-GB"/>
              </w:rPr>
              <w:t xml:space="preserve">Page </w:t>
            </w:r>
            <w:r>
              <w:rPr>
                <w:sz w:val="24"/>
                <w:szCs w:val="24"/>
                <w:lang w:val="en-GB"/>
              </w:rPr>
              <w:fldChar w:fldCharType="begin"/>
            </w:r>
            <w:r>
              <w:rPr>
                <w:lang w:val="en-GB"/>
              </w:rPr>
              <w:instrText>PAGE</w:instrText>
            </w:r>
            <w:r>
              <w:rPr>
                <w:sz w:val="24"/>
                <w:szCs w:val="24"/>
                <w:lang w:val="en-GB"/>
              </w:rPr>
              <w:fldChar w:fldCharType="separate"/>
            </w:r>
            <w:r w:rsidR="00FA70EA">
              <w:rPr>
                <w:noProof/>
                <w:lang w:val="en-GB"/>
              </w:rPr>
              <w:t>2</w:t>
            </w:r>
            <w:r>
              <w:rPr>
                <w:sz w:val="24"/>
                <w:szCs w:val="24"/>
                <w:lang w:val="en-GB"/>
              </w:rPr>
              <w:fldChar w:fldCharType="end"/>
            </w:r>
            <w:r>
              <w:rPr>
                <w:lang w:val="en-GB"/>
              </w:rPr>
              <w:t xml:space="preserve"> of </w:t>
            </w:r>
            <w:r>
              <w:rPr>
                <w:sz w:val="24"/>
                <w:szCs w:val="24"/>
                <w:lang w:val="en-GB"/>
              </w:rPr>
              <w:fldChar w:fldCharType="begin"/>
            </w:r>
            <w:r>
              <w:rPr>
                <w:lang w:val="en-GB"/>
              </w:rPr>
              <w:instrText>NUMPAGES</w:instrText>
            </w:r>
            <w:r>
              <w:rPr>
                <w:sz w:val="24"/>
                <w:szCs w:val="24"/>
                <w:lang w:val="en-GB"/>
              </w:rPr>
              <w:fldChar w:fldCharType="separate"/>
            </w:r>
            <w:r w:rsidR="00FA70EA">
              <w:rPr>
                <w:noProof/>
                <w:lang w:val="en-GB"/>
              </w:rPr>
              <w:t>3</w:t>
            </w:r>
            <w:r>
              <w:rPr>
                <w:sz w:val="24"/>
                <w:szCs w:val="24"/>
                <w:lang w:val="en-GB"/>
              </w:rPr>
              <w:fldChar w:fldCharType="end"/>
            </w:r>
          </w:p>
        </w:sdtContent>
      </w:sdt>
    </w:sdtContent>
  </w:sdt>
  <w:p w:rsidR="009B3C94" w:rsidRDefault="009B3C9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5E5" w:rsidRDefault="004275E5" w:rsidP="000A317A">
      <w:r>
        <w:separator/>
      </w:r>
    </w:p>
  </w:footnote>
  <w:footnote w:type="continuationSeparator" w:id="0">
    <w:p w:rsidR="004275E5" w:rsidRDefault="004275E5" w:rsidP="000A3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8A6" w:rsidRDefault="00DF4AC6" w:rsidP="003328D5">
    <w:pPr>
      <w:pStyle w:val="Glava"/>
      <w:jc w:val="right"/>
    </w:pPr>
    <w:r>
      <w:rPr>
        <w:lang w:val="en-GB"/>
      </w:rPr>
      <w:t xml:space="preserve">                                                                                                                   </w:t>
    </w:r>
  </w:p>
  <w:p w:rsidR="00B710EA" w:rsidRPr="00120C70" w:rsidRDefault="00B710EA" w:rsidP="00B710EA">
    <w:pPr>
      <w:pStyle w:val="Glava"/>
      <w:jc w:val="center"/>
      <w:rPr>
        <w:b/>
        <w:noProof/>
        <w:sz w:val="20"/>
        <w:szCs w:val="20"/>
      </w:rPr>
    </w:pPr>
    <w:r w:rsidRPr="00120C70">
      <w:rPr>
        <w:b/>
        <w:noProof/>
        <w:sz w:val="20"/>
        <w:szCs w:val="20"/>
        <w:lang w:val="en-GB"/>
      </w:rPr>
      <w:t>THIS TEXT IS UNOFFICIAL TRANSLATION AND MAY NOT BE USED AS A BASIS FOR SOLVING ANY DISPUTE</w:t>
    </w:r>
  </w:p>
  <w:p w:rsidR="003B486A" w:rsidRDefault="003B486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2653"/>
    <w:multiLevelType w:val="hybridMultilevel"/>
    <w:tmpl w:val="4DA2D920"/>
    <w:lvl w:ilvl="0" w:tplc="B656B7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EA70BA"/>
    <w:multiLevelType w:val="hybridMultilevel"/>
    <w:tmpl w:val="E14A5700"/>
    <w:lvl w:ilvl="0" w:tplc="B656B71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19D7019"/>
    <w:multiLevelType w:val="hybridMultilevel"/>
    <w:tmpl w:val="F5E019A0"/>
    <w:lvl w:ilvl="0" w:tplc="704A407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881403"/>
    <w:multiLevelType w:val="hybridMultilevel"/>
    <w:tmpl w:val="262CEA14"/>
    <w:lvl w:ilvl="0" w:tplc="0DCCA6B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A0673D"/>
    <w:multiLevelType w:val="hybridMultilevel"/>
    <w:tmpl w:val="CF00CF4A"/>
    <w:lvl w:ilvl="0" w:tplc="D896A1B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9C54C7E"/>
    <w:multiLevelType w:val="hybridMultilevel"/>
    <w:tmpl w:val="E89413AE"/>
    <w:lvl w:ilvl="0" w:tplc="80D4E87E">
      <w:start w:val="1"/>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3DB3B6D"/>
    <w:multiLevelType w:val="hybridMultilevel"/>
    <w:tmpl w:val="ADA4119A"/>
    <w:lvl w:ilvl="0" w:tplc="ADD089A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526538C"/>
    <w:multiLevelType w:val="hybridMultilevel"/>
    <w:tmpl w:val="D96814C4"/>
    <w:lvl w:ilvl="0" w:tplc="03ECC246">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6BC38F8"/>
    <w:multiLevelType w:val="hybridMultilevel"/>
    <w:tmpl w:val="CF209D54"/>
    <w:lvl w:ilvl="0" w:tplc="704A4078">
      <w:start w:val="1"/>
      <w:numFmt w:val="decimal"/>
      <w:lvlText w:val="(%1)"/>
      <w:lvlJc w:val="left"/>
      <w:pPr>
        <w:ind w:left="515" w:hanging="360"/>
      </w:pPr>
      <w:rPr>
        <w:rFonts w:hint="default"/>
      </w:rPr>
    </w:lvl>
    <w:lvl w:ilvl="1" w:tplc="04240019">
      <w:start w:val="1"/>
      <w:numFmt w:val="lowerLetter"/>
      <w:lvlText w:val="%2."/>
      <w:lvlJc w:val="left"/>
      <w:pPr>
        <w:ind w:left="1235" w:hanging="360"/>
      </w:pPr>
    </w:lvl>
    <w:lvl w:ilvl="2" w:tplc="0424001B" w:tentative="1">
      <w:start w:val="1"/>
      <w:numFmt w:val="lowerRoman"/>
      <w:lvlText w:val="%3."/>
      <w:lvlJc w:val="right"/>
      <w:pPr>
        <w:ind w:left="1955" w:hanging="180"/>
      </w:pPr>
    </w:lvl>
    <w:lvl w:ilvl="3" w:tplc="0424000F" w:tentative="1">
      <w:start w:val="1"/>
      <w:numFmt w:val="decimal"/>
      <w:lvlText w:val="%4."/>
      <w:lvlJc w:val="left"/>
      <w:pPr>
        <w:ind w:left="2675" w:hanging="360"/>
      </w:pPr>
    </w:lvl>
    <w:lvl w:ilvl="4" w:tplc="04240019" w:tentative="1">
      <w:start w:val="1"/>
      <w:numFmt w:val="lowerLetter"/>
      <w:lvlText w:val="%5."/>
      <w:lvlJc w:val="left"/>
      <w:pPr>
        <w:ind w:left="3395" w:hanging="360"/>
      </w:pPr>
    </w:lvl>
    <w:lvl w:ilvl="5" w:tplc="0424001B" w:tentative="1">
      <w:start w:val="1"/>
      <w:numFmt w:val="lowerRoman"/>
      <w:lvlText w:val="%6."/>
      <w:lvlJc w:val="right"/>
      <w:pPr>
        <w:ind w:left="4115" w:hanging="180"/>
      </w:pPr>
    </w:lvl>
    <w:lvl w:ilvl="6" w:tplc="0424000F" w:tentative="1">
      <w:start w:val="1"/>
      <w:numFmt w:val="decimal"/>
      <w:lvlText w:val="%7."/>
      <w:lvlJc w:val="left"/>
      <w:pPr>
        <w:ind w:left="4835" w:hanging="360"/>
      </w:pPr>
    </w:lvl>
    <w:lvl w:ilvl="7" w:tplc="04240019" w:tentative="1">
      <w:start w:val="1"/>
      <w:numFmt w:val="lowerLetter"/>
      <w:lvlText w:val="%8."/>
      <w:lvlJc w:val="left"/>
      <w:pPr>
        <w:ind w:left="5555" w:hanging="360"/>
      </w:pPr>
    </w:lvl>
    <w:lvl w:ilvl="8" w:tplc="0424001B" w:tentative="1">
      <w:start w:val="1"/>
      <w:numFmt w:val="lowerRoman"/>
      <w:lvlText w:val="%9."/>
      <w:lvlJc w:val="right"/>
      <w:pPr>
        <w:ind w:left="6275" w:hanging="180"/>
      </w:pPr>
    </w:lvl>
  </w:abstractNum>
  <w:abstractNum w:abstractNumId="9" w15:restartNumberingAfterBreak="0">
    <w:nsid w:val="2BA17439"/>
    <w:multiLevelType w:val="hybridMultilevel"/>
    <w:tmpl w:val="E182C98C"/>
    <w:lvl w:ilvl="0" w:tplc="64686EB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1D62A26"/>
    <w:multiLevelType w:val="hybridMultilevel"/>
    <w:tmpl w:val="58BCB1F0"/>
    <w:lvl w:ilvl="0" w:tplc="59E62DE0">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A104013"/>
    <w:multiLevelType w:val="hybridMultilevel"/>
    <w:tmpl w:val="B122087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FC77655"/>
    <w:multiLevelType w:val="hybridMultilevel"/>
    <w:tmpl w:val="E62826EA"/>
    <w:lvl w:ilvl="0" w:tplc="64686EB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4BF423F6"/>
    <w:multiLevelType w:val="hybridMultilevel"/>
    <w:tmpl w:val="22AC7686"/>
    <w:lvl w:ilvl="0" w:tplc="79401A40">
      <w:start w:val="1"/>
      <w:numFmt w:val="lowerLetter"/>
      <w:lvlText w:val="(%1)"/>
      <w:lvlJc w:val="left"/>
      <w:pPr>
        <w:ind w:left="720" w:hanging="360"/>
      </w:pPr>
      <w:rPr>
        <w:rFonts w:hint="default"/>
      </w:rPr>
    </w:lvl>
    <w:lvl w:ilvl="1" w:tplc="64686EB8">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7CC65CF"/>
    <w:multiLevelType w:val="hybridMultilevel"/>
    <w:tmpl w:val="F5E019A0"/>
    <w:lvl w:ilvl="0" w:tplc="704A407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EC447C6"/>
    <w:multiLevelType w:val="hybridMultilevel"/>
    <w:tmpl w:val="78EEC00A"/>
    <w:lvl w:ilvl="0" w:tplc="47982138">
      <w:start w:val="2"/>
      <w:numFmt w:val="lowerLetter"/>
      <w:lvlText w:val="(%1)"/>
      <w:lvlJc w:val="left"/>
      <w:pPr>
        <w:ind w:left="720" w:hanging="360"/>
      </w:pPr>
      <w:rPr>
        <w:rFonts w:hint="default"/>
      </w:rPr>
    </w:lvl>
    <w:lvl w:ilvl="1" w:tplc="E728A0B8">
      <w:start w:val="1"/>
      <w:numFmt w:val="lowerLetter"/>
      <w:lvlText w:val="(%2)"/>
      <w:lvlJc w:val="left"/>
      <w:pPr>
        <w:ind w:left="1770" w:hanging="69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2B918F1"/>
    <w:multiLevelType w:val="hybridMultilevel"/>
    <w:tmpl w:val="2872119C"/>
    <w:lvl w:ilvl="0" w:tplc="3BC68BBA">
      <w:start w:val="1"/>
      <w:numFmt w:val="lowerLetter"/>
      <w:lvlText w:val="(%1)"/>
      <w:lvlJc w:val="left"/>
      <w:pPr>
        <w:ind w:left="720" w:hanging="360"/>
      </w:pPr>
      <w:rPr>
        <w:rFonts w:hint="default"/>
      </w:rPr>
    </w:lvl>
    <w:lvl w:ilvl="1" w:tplc="E728A0B8">
      <w:start w:val="1"/>
      <w:numFmt w:val="lowerLetter"/>
      <w:lvlText w:val="(%2)"/>
      <w:lvlJc w:val="left"/>
      <w:pPr>
        <w:ind w:left="1770" w:hanging="69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1D138BC"/>
    <w:multiLevelType w:val="hybridMultilevel"/>
    <w:tmpl w:val="919C92FA"/>
    <w:lvl w:ilvl="0" w:tplc="64686EB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75B15C0A"/>
    <w:multiLevelType w:val="hybridMultilevel"/>
    <w:tmpl w:val="E30A9AD2"/>
    <w:lvl w:ilvl="0" w:tplc="79401A40">
      <w:start w:val="1"/>
      <w:numFmt w:val="lowerLetter"/>
      <w:lvlText w:val="(%1)"/>
      <w:lvlJc w:val="left"/>
      <w:pPr>
        <w:ind w:left="720" w:hanging="360"/>
      </w:pPr>
      <w:rPr>
        <w:rFonts w:hint="default"/>
      </w:rPr>
    </w:lvl>
    <w:lvl w:ilvl="1" w:tplc="E728A0B8">
      <w:start w:val="1"/>
      <w:numFmt w:val="lowerLetter"/>
      <w:lvlText w:val="(%2)"/>
      <w:lvlJc w:val="left"/>
      <w:pPr>
        <w:ind w:left="1770" w:hanging="69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6EB696E"/>
    <w:multiLevelType w:val="hybridMultilevel"/>
    <w:tmpl w:val="D35AB0B6"/>
    <w:lvl w:ilvl="0" w:tplc="A3DA66EC">
      <w:start w:val="1"/>
      <w:numFmt w:val="lowerLetter"/>
      <w:lvlText w:val="(%1)"/>
      <w:lvlJc w:val="left"/>
      <w:pPr>
        <w:ind w:left="720" w:hanging="360"/>
      </w:pPr>
      <w:rPr>
        <w:rFonts w:hint="default"/>
      </w:rPr>
    </w:lvl>
    <w:lvl w:ilvl="1" w:tplc="E728A0B8">
      <w:start w:val="1"/>
      <w:numFmt w:val="lowerLetter"/>
      <w:lvlText w:val="(%2)"/>
      <w:lvlJc w:val="left"/>
      <w:pPr>
        <w:ind w:left="1770" w:hanging="69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95E4B89"/>
    <w:multiLevelType w:val="hybridMultilevel"/>
    <w:tmpl w:val="3B8CC49C"/>
    <w:lvl w:ilvl="0" w:tplc="03ECC246">
      <w:start w:val="1"/>
      <w:numFmt w:val="bullet"/>
      <w:lvlText w:val="-"/>
      <w:lvlJc w:val="left"/>
      <w:pPr>
        <w:ind w:left="1080" w:hanging="360"/>
      </w:pPr>
      <w:rPr>
        <w:rFonts w:ascii="Times New Roman"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79A871E1"/>
    <w:multiLevelType w:val="hybridMultilevel"/>
    <w:tmpl w:val="0F0E0710"/>
    <w:lvl w:ilvl="0" w:tplc="64686E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10"/>
  </w:num>
  <w:num w:numId="3">
    <w:abstractNumId w:val="18"/>
  </w:num>
  <w:num w:numId="4">
    <w:abstractNumId w:val="14"/>
  </w:num>
  <w:num w:numId="5">
    <w:abstractNumId w:val="2"/>
  </w:num>
  <w:num w:numId="6">
    <w:abstractNumId w:val="20"/>
  </w:num>
  <w:num w:numId="7">
    <w:abstractNumId w:val="5"/>
  </w:num>
  <w:num w:numId="8">
    <w:abstractNumId w:val="3"/>
  </w:num>
  <w:num w:numId="9">
    <w:abstractNumId w:val="7"/>
  </w:num>
  <w:num w:numId="10">
    <w:abstractNumId w:val="19"/>
  </w:num>
  <w:num w:numId="11">
    <w:abstractNumId w:val="16"/>
  </w:num>
  <w:num w:numId="12">
    <w:abstractNumId w:val="15"/>
  </w:num>
  <w:num w:numId="13">
    <w:abstractNumId w:val="13"/>
  </w:num>
  <w:num w:numId="14">
    <w:abstractNumId w:val="0"/>
  </w:num>
  <w:num w:numId="15">
    <w:abstractNumId w:val="1"/>
  </w:num>
  <w:num w:numId="16">
    <w:abstractNumId w:val="17"/>
  </w:num>
  <w:num w:numId="17">
    <w:abstractNumId w:val="12"/>
  </w:num>
  <w:num w:numId="18">
    <w:abstractNumId w:val="21"/>
  </w:num>
  <w:num w:numId="19">
    <w:abstractNumId w:val="9"/>
  </w:num>
  <w:num w:numId="20">
    <w:abstractNumId w:val="11"/>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B43F2"/>
    <w:rsid w:val="0000406D"/>
    <w:rsid w:val="00024106"/>
    <w:rsid w:val="000248DD"/>
    <w:rsid w:val="0002745F"/>
    <w:rsid w:val="000350AA"/>
    <w:rsid w:val="00035434"/>
    <w:rsid w:val="00047997"/>
    <w:rsid w:val="000521FA"/>
    <w:rsid w:val="0005724E"/>
    <w:rsid w:val="00070ECD"/>
    <w:rsid w:val="000839FE"/>
    <w:rsid w:val="00086DC7"/>
    <w:rsid w:val="000961BF"/>
    <w:rsid w:val="000A2D66"/>
    <w:rsid w:val="000A317A"/>
    <w:rsid w:val="000B1743"/>
    <w:rsid w:val="000C01F6"/>
    <w:rsid w:val="000C14BF"/>
    <w:rsid w:val="000C71E5"/>
    <w:rsid w:val="000D33FE"/>
    <w:rsid w:val="000E0520"/>
    <w:rsid w:val="000E3289"/>
    <w:rsid w:val="000E3883"/>
    <w:rsid w:val="000E45DC"/>
    <w:rsid w:val="000F2BFB"/>
    <w:rsid w:val="000F7752"/>
    <w:rsid w:val="0010563C"/>
    <w:rsid w:val="001078AF"/>
    <w:rsid w:val="00112F22"/>
    <w:rsid w:val="001152A6"/>
    <w:rsid w:val="0011570C"/>
    <w:rsid w:val="001163A0"/>
    <w:rsid w:val="001166AD"/>
    <w:rsid w:val="00126C99"/>
    <w:rsid w:val="001331F6"/>
    <w:rsid w:val="0015302F"/>
    <w:rsid w:val="00157879"/>
    <w:rsid w:val="001733DA"/>
    <w:rsid w:val="001806D1"/>
    <w:rsid w:val="00186196"/>
    <w:rsid w:val="00191F46"/>
    <w:rsid w:val="00192B81"/>
    <w:rsid w:val="001A133B"/>
    <w:rsid w:val="001A3A71"/>
    <w:rsid w:val="001A44F1"/>
    <w:rsid w:val="001B611C"/>
    <w:rsid w:val="001C38B7"/>
    <w:rsid w:val="001E2A2D"/>
    <w:rsid w:val="001E4BC2"/>
    <w:rsid w:val="001E5ACB"/>
    <w:rsid w:val="001F4DD0"/>
    <w:rsid w:val="001F75E4"/>
    <w:rsid w:val="002344CB"/>
    <w:rsid w:val="002404E4"/>
    <w:rsid w:val="00243FC4"/>
    <w:rsid w:val="00253E53"/>
    <w:rsid w:val="002540EF"/>
    <w:rsid w:val="00263193"/>
    <w:rsid w:val="00264427"/>
    <w:rsid w:val="002749BD"/>
    <w:rsid w:val="0028073E"/>
    <w:rsid w:val="00281F4D"/>
    <w:rsid w:val="0028243A"/>
    <w:rsid w:val="002900A3"/>
    <w:rsid w:val="00296CF4"/>
    <w:rsid w:val="002974C9"/>
    <w:rsid w:val="002A698A"/>
    <w:rsid w:val="002B3967"/>
    <w:rsid w:val="002B43F2"/>
    <w:rsid w:val="002B5730"/>
    <w:rsid w:val="002B7A3D"/>
    <w:rsid w:val="002D68A6"/>
    <w:rsid w:val="002D6F86"/>
    <w:rsid w:val="002E4909"/>
    <w:rsid w:val="002F5686"/>
    <w:rsid w:val="00301D4F"/>
    <w:rsid w:val="00305A00"/>
    <w:rsid w:val="00307D1B"/>
    <w:rsid w:val="00311121"/>
    <w:rsid w:val="003142AA"/>
    <w:rsid w:val="00324E8A"/>
    <w:rsid w:val="003328D5"/>
    <w:rsid w:val="003353D1"/>
    <w:rsid w:val="003370E4"/>
    <w:rsid w:val="003509C4"/>
    <w:rsid w:val="00351AEA"/>
    <w:rsid w:val="00352FD5"/>
    <w:rsid w:val="003631B8"/>
    <w:rsid w:val="00364510"/>
    <w:rsid w:val="00364EA2"/>
    <w:rsid w:val="00366C2A"/>
    <w:rsid w:val="0037037B"/>
    <w:rsid w:val="00373B4B"/>
    <w:rsid w:val="00386E2F"/>
    <w:rsid w:val="00395B08"/>
    <w:rsid w:val="00396FF4"/>
    <w:rsid w:val="003B1351"/>
    <w:rsid w:val="003B1BAB"/>
    <w:rsid w:val="003B486A"/>
    <w:rsid w:val="003B6A48"/>
    <w:rsid w:val="003C76BA"/>
    <w:rsid w:val="003E283A"/>
    <w:rsid w:val="003E332A"/>
    <w:rsid w:val="003F3FFF"/>
    <w:rsid w:val="004041C4"/>
    <w:rsid w:val="00415097"/>
    <w:rsid w:val="0042240B"/>
    <w:rsid w:val="004275E5"/>
    <w:rsid w:val="0044238D"/>
    <w:rsid w:val="004436FC"/>
    <w:rsid w:val="00457D23"/>
    <w:rsid w:val="00474927"/>
    <w:rsid w:val="00475387"/>
    <w:rsid w:val="0049397B"/>
    <w:rsid w:val="004A1740"/>
    <w:rsid w:val="004A359C"/>
    <w:rsid w:val="004A4B98"/>
    <w:rsid w:val="004A6B9F"/>
    <w:rsid w:val="004B6D1B"/>
    <w:rsid w:val="004C272A"/>
    <w:rsid w:val="004C2F5D"/>
    <w:rsid w:val="004C5C45"/>
    <w:rsid w:val="004D404A"/>
    <w:rsid w:val="004D57AF"/>
    <w:rsid w:val="004D68E9"/>
    <w:rsid w:val="004D744E"/>
    <w:rsid w:val="004E0EA3"/>
    <w:rsid w:val="004E34E9"/>
    <w:rsid w:val="004E4E6E"/>
    <w:rsid w:val="004F521D"/>
    <w:rsid w:val="004F7734"/>
    <w:rsid w:val="00506444"/>
    <w:rsid w:val="00512245"/>
    <w:rsid w:val="0052562F"/>
    <w:rsid w:val="005360FE"/>
    <w:rsid w:val="00536D26"/>
    <w:rsid w:val="00537B8A"/>
    <w:rsid w:val="00543D3E"/>
    <w:rsid w:val="00545655"/>
    <w:rsid w:val="0055169B"/>
    <w:rsid w:val="005518E6"/>
    <w:rsid w:val="005543F6"/>
    <w:rsid w:val="00557C31"/>
    <w:rsid w:val="00561E74"/>
    <w:rsid w:val="00565004"/>
    <w:rsid w:val="0056759B"/>
    <w:rsid w:val="005737D6"/>
    <w:rsid w:val="00597B8C"/>
    <w:rsid w:val="005A1184"/>
    <w:rsid w:val="005B23E6"/>
    <w:rsid w:val="005C0509"/>
    <w:rsid w:val="005C5EE9"/>
    <w:rsid w:val="005D2D0C"/>
    <w:rsid w:val="005D387D"/>
    <w:rsid w:val="005F5C15"/>
    <w:rsid w:val="005F6821"/>
    <w:rsid w:val="006065CB"/>
    <w:rsid w:val="0061367E"/>
    <w:rsid w:val="006205BC"/>
    <w:rsid w:val="00623915"/>
    <w:rsid w:val="0063409C"/>
    <w:rsid w:val="00635EE9"/>
    <w:rsid w:val="00640732"/>
    <w:rsid w:val="00646B02"/>
    <w:rsid w:val="00647C1E"/>
    <w:rsid w:val="006572B3"/>
    <w:rsid w:val="006623E3"/>
    <w:rsid w:val="00674E5B"/>
    <w:rsid w:val="006858E2"/>
    <w:rsid w:val="00685CD9"/>
    <w:rsid w:val="006A06AF"/>
    <w:rsid w:val="006A3D48"/>
    <w:rsid w:val="006A59CE"/>
    <w:rsid w:val="006B0261"/>
    <w:rsid w:val="006B1C8B"/>
    <w:rsid w:val="006B7598"/>
    <w:rsid w:val="006C4878"/>
    <w:rsid w:val="006C6E54"/>
    <w:rsid w:val="006D0512"/>
    <w:rsid w:val="006D09EC"/>
    <w:rsid w:val="006E01F8"/>
    <w:rsid w:val="006E4E77"/>
    <w:rsid w:val="006F32C7"/>
    <w:rsid w:val="006F6FF4"/>
    <w:rsid w:val="0070561A"/>
    <w:rsid w:val="007077D2"/>
    <w:rsid w:val="00711A28"/>
    <w:rsid w:val="00721838"/>
    <w:rsid w:val="00721B41"/>
    <w:rsid w:val="00743D8C"/>
    <w:rsid w:val="007470B8"/>
    <w:rsid w:val="00755905"/>
    <w:rsid w:val="00771A0B"/>
    <w:rsid w:val="0078033E"/>
    <w:rsid w:val="00784E7B"/>
    <w:rsid w:val="007910DD"/>
    <w:rsid w:val="00793CC8"/>
    <w:rsid w:val="007963C6"/>
    <w:rsid w:val="007A10B4"/>
    <w:rsid w:val="007A44DE"/>
    <w:rsid w:val="007B5473"/>
    <w:rsid w:val="007B5BE2"/>
    <w:rsid w:val="007C457F"/>
    <w:rsid w:val="007C62F2"/>
    <w:rsid w:val="007D20E0"/>
    <w:rsid w:val="007D2F0B"/>
    <w:rsid w:val="007D723A"/>
    <w:rsid w:val="007E2A39"/>
    <w:rsid w:val="007F2D73"/>
    <w:rsid w:val="007F2FEF"/>
    <w:rsid w:val="008030C0"/>
    <w:rsid w:val="00804FF8"/>
    <w:rsid w:val="00810FF9"/>
    <w:rsid w:val="00814695"/>
    <w:rsid w:val="00815CCD"/>
    <w:rsid w:val="00817FE2"/>
    <w:rsid w:val="00825674"/>
    <w:rsid w:val="00826219"/>
    <w:rsid w:val="00832754"/>
    <w:rsid w:val="008723BC"/>
    <w:rsid w:val="00873284"/>
    <w:rsid w:val="00884BE2"/>
    <w:rsid w:val="008B08CE"/>
    <w:rsid w:val="008B11A2"/>
    <w:rsid w:val="008B4639"/>
    <w:rsid w:val="008C1186"/>
    <w:rsid w:val="008C246B"/>
    <w:rsid w:val="008C2A53"/>
    <w:rsid w:val="008C5290"/>
    <w:rsid w:val="008D5803"/>
    <w:rsid w:val="008E20C0"/>
    <w:rsid w:val="0090038E"/>
    <w:rsid w:val="00900418"/>
    <w:rsid w:val="00903EA2"/>
    <w:rsid w:val="0090468E"/>
    <w:rsid w:val="009126B8"/>
    <w:rsid w:val="0091308B"/>
    <w:rsid w:val="009178F0"/>
    <w:rsid w:val="009238BE"/>
    <w:rsid w:val="009314EA"/>
    <w:rsid w:val="009407F6"/>
    <w:rsid w:val="009450B0"/>
    <w:rsid w:val="009602E4"/>
    <w:rsid w:val="00960CF3"/>
    <w:rsid w:val="00966832"/>
    <w:rsid w:val="00981320"/>
    <w:rsid w:val="00983788"/>
    <w:rsid w:val="0098387C"/>
    <w:rsid w:val="00986514"/>
    <w:rsid w:val="00990077"/>
    <w:rsid w:val="0099105C"/>
    <w:rsid w:val="00992599"/>
    <w:rsid w:val="00992D32"/>
    <w:rsid w:val="009956ED"/>
    <w:rsid w:val="009A2F85"/>
    <w:rsid w:val="009A5B9C"/>
    <w:rsid w:val="009B3C94"/>
    <w:rsid w:val="009D1230"/>
    <w:rsid w:val="009D22A3"/>
    <w:rsid w:val="009E0DAF"/>
    <w:rsid w:val="009E1296"/>
    <w:rsid w:val="009E6483"/>
    <w:rsid w:val="009F55E7"/>
    <w:rsid w:val="00A04325"/>
    <w:rsid w:val="00A07775"/>
    <w:rsid w:val="00A124D8"/>
    <w:rsid w:val="00A13AA0"/>
    <w:rsid w:val="00A45508"/>
    <w:rsid w:val="00A5577F"/>
    <w:rsid w:val="00A60067"/>
    <w:rsid w:val="00A6710F"/>
    <w:rsid w:val="00A82180"/>
    <w:rsid w:val="00A850D6"/>
    <w:rsid w:val="00A97FEB"/>
    <w:rsid w:val="00AA4B64"/>
    <w:rsid w:val="00AC4F09"/>
    <w:rsid w:val="00AC5196"/>
    <w:rsid w:val="00AC67A7"/>
    <w:rsid w:val="00AC7F5A"/>
    <w:rsid w:val="00AD51BD"/>
    <w:rsid w:val="00AE1159"/>
    <w:rsid w:val="00B01CBF"/>
    <w:rsid w:val="00B124D6"/>
    <w:rsid w:val="00B1305F"/>
    <w:rsid w:val="00B21605"/>
    <w:rsid w:val="00B4294E"/>
    <w:rsid w:val="00B47939"/>
    <w:rsid w:val="00B60846"/>
    <w:rsid w:val="00B64500"/>
    <w:rsid w:val="00B70FDC"/>
    <w:rsid w:val="00B710EA"/>
    <w:rsid w:val="00B71809"/>
    <w:rsid w:val="00B84908"/>
    <w:rsid w:val="00B87EEE"/>
    <w:rsid w:val="00B916F4"/>
    <w:rsid w:val="00B92194"/>
    <w:rsid w:val="00B979DE"/>
    <w:rsid w:val="00BA2718"/>
    <w:rsid w:val="00BB277B"/>
    <w:rsid w:val="00BC47C5"/>
    <w:rsid w:val="00BD5955"/>
    <w:rsid w:val="00BE2B8C"/>
    <w:rsid w:val="00C11B9D"/>
    <w:rsid w:val="00C13B0E"/>
    <w:rsid w:val="00C22F9F"/>
    <w:rsid w:val="00C36293"/>
    <w:rsid w:val="00C705EB"/>
    <w:rsid w:val="00C753E0"/>
    <w:rsid w:val="00C83C75"/>
    <w:rsid w:val="00C9518E"/>
    <w:rsid w:val="00C95D7E"/>
    <w:rsid w:val="00C9681E"/>
    <w:rsid w:val="00C97AE3"/>
    <w:rsid w:val="00CA3E8F"/>
    <w:rsid w:val="00CA6401"/>
    <w:rsid w:val="00CB1834"/>
    <w:rsid w:val="00CB1D5F"/>
    <w:rsid w:val="00CC0462"/>
    <w:rsid w:val="00CC2DC6"/>
    <w:rsid w:val="00CD66A2"/>
    <w:rsid w:val="00CE5A62"/>
    <w:rsid w:val="00CE5FCE"/>
    <w:rsid w:val="00CE77DA"/>
    <w:rsid w:val="00CF0E82"/>
    <w:rsid w:val="00CF0F62"/>
    <w:rsid w:val="00D0108A"/>
    <w:rsid w:val="00D03DC6"/>
    <w:rsid w:val="00D05F08"/>
    <w:rsid w:val="00D07FCA"/>
    <w:rsid w:val="00D1139C"/>
    <w:rsid w:val="00D15AD2"/>
    <w:rsid w:val="00D162E1"/>
    <w:rsid w:val="00D16F7D"/>
    <w:rsid w:val="00D21C59"/>
    <w:rsid w:val="00D25583"/>
    <w:rsid w:val="00D26796"/>
    <w:rsid w:val="00D31D2B"/>
    <w:rsid w:val="00D36095"/>
    <w:rsid w:val="00D40CA1"/>
    <w:rsid w:val="00D412CC"/>
    <w:rsid w:val="00D44FC9"/>
    <w:rsid w:val="00D50C9A"/>
    <w:rsid w:val="00D51A96"/>
    <w:rsid w:val="00D66D90"/>
    <w:rsid w:val="00D71C94"/>
    <w:rsid w:val="00D72B7E"/>
    <w:rsid w:val="00D73F6A"/>
    <w:rsid w:val="00D8731B"/>
    <w:rsid w:val="00DA364B"/>
    <w:rsid w:val="00DA5E3C"/>
    <w:rsid w:val="00DA6335"/>
    <w:rsid w:val="00DB3BF4"/>
    <w:rsid w:val="00DB5211"/>
    <w:rsid w:val="00DC289A"/>
    <w:rsid w:val="00DD2481"/>
    <w:rsid w:val="00DD3D18"/>
    <w:rsid w:val="00DE026B"/>
    <w:rsid w:val="00DE183E"/>
    <w:rsid w:val="00DE2028"/>
    <w:rsid w:val="00DE30D6"/>
    <w:rsid w:val="00DE5B8B"/>
    <w:rsid w:val="00DE7334"/>
    <w:rsid w:val="00DF34A7"/>
    <w:rsid w:val="00DF4AC6"/>
    <w:rsid w:val="00DF4DB9"/>
    <w:rsid w:val="00DF52EA"/>
    <w:rsid w:val="00E04742"/>
    <w:rsid w:val="00E06A10"/>
    <w:rsid w:val="00E13BDA"/>
    <w:rsid w:val="00E13FC4"/>
    <w:rsid w:val="00E1563F"/>
    <w:rsid w:val="00E24A59"/>
    <w:rsid w:val="00E342EC"/>
    <w:rsid w:val="00E34F19"/>
    <w:rsid w:val="00E46C45"/>
    <w:rsid w:val="00E52232"/>
    <w:rsid w:val="00E60C3C"/>
    <w:rsid w:val="00E61561"/>
    <w:rsid w:val="00E62E09"/>
    <w:rsid w:val="00E81EF5"/>
    <w:rsid w:val="00E82399"/>
    <w:rsid w:val="00E959A0"/>
    <w:rsid w:val="00EA053D"/>
    <w:rsid w:val="00EA1A7E"/>
    <w:rsid w:val="00EB20DB"/>
    <w:rsid w:val="00EB3DBD"/>
    <w:rsid w:val="00EC06D9"/>
    <w:rsid w:val="00EC4E77"/>
    <w:rsid w:val="00ED12F0"/>
    <w:rsid w:val="00ED4665"/>
    <w:rsid w:val="00ED73CE"/>
    <w:rsid w:val="00EF1619"/>
    <w:rsid w:val="00EF6575"/>
    <w:rsid w:val="00F044AC"/>
    <w:rsid w:val="00F143AE"/>
    <w:rsid w:val="00F206B8"/>
    <w:rsid w:val="00F23226"/>
    <w:rsid w:val="00F25584"/>
    <w:rsid w:val="00F272F4"/>
    <w:rsid w:val="00F27B82"/>
    <w:rsid w:val="00F34B8B"/>
    <w:rsid w:val="00F42D7D"/>
    <w:rsid w:val="00F527B8"/>
    <w:rsid w:val="00F54BC4"/>
    <w:rsid w:val="00F555E2"/>
    <w:rsid w:val="00F6349A"/>
    <w:rsid w:val="00F73F9B"/>
    <w:rsid w:val="00F84EB3"/>
    <w:rsid w:val="00F85B11"/>
    <w:rsid w:val="00F91DAE"/>
    <w:rsid w:val="00FA20BF"/>
    <w:rsid w:val="00FA3810"/>
    <w:rsid w:val="00FA3EBE"/>
    <w:rsid w:val="00FA5B47"/>
    <w:rsid w:val="00FA70EA"/>
    <w:rsid w:val="00FC6EA8"/>
    <w:rsid w:val="00FF08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8D1DC7-2F33-478F-9413-7C68DF50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1A0B"/>
    <w:pPr>
      <w:spacing w:after="0" w:line="240" w:lineRule="auto"/>
    </w:pPr>
    <w:rPr>
      <w:rFonts w:ascii="Times New Roman" w:hAnsi="Times New Roman" w:cs="Times New Roman"/>
    </w:rPr>
  </w:style>
  <w:style w:type="paragraph" w:styleId="Naslov1">
    <w:name w:val="heading 1"/>
    <w:basedOn w:val="Navaden"/>
    <w:next w:val="Navaden"/>
    <w:link w:val="Naslov1Znak"/>
    <w:uiPriority w:val="9"/>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98387C"/>
    <w:pPr>
      <w:keepNext/>
      <w:keepLines/>
      <w:spacing w:before="20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semiHidden/>
    <w:unhideWhenUsed/>
    <w:qFormat/>
    <w:rsid w:val="00301D4F"/>
    <w:pPr>
      <w:keepNext/>
      <w:keepLines/>
      <w:spacing w:before="20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CC0462"/>
    <w:pPr>
      <w:spacing w:after="0" w:line="240" w:lineRule="auto"/>
    </w:pPr>
    <w:rPr>
      <w:rFonts w:ascii="Times New Roman" w:hAnsi="Times New Roman" w:cs="Times New Roman"/>
    </w:rPr>
  </w:style>
  <w:style w:type="character" w:customStyle="1" w:styleId="Naslov1Znak">
    <w:name w:val="Naslov 1 Znak"/>
    <w:basedOn w:val="Privzetapisavaodstavka"/>
    <w:link w:val="Naslov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Naslov3Znak">
    <w:name w:val="Naslov 3 Znak"/>
    <w:basedOn w:val="Privzetapisavaodstavka"/>
    <w:link w:val="Naslov3"/>
    <w:uiPriority w:val="9"/>
    <w:semiHidden/>
    <w:rsid w:val="0098387C"/>
    <w:rPr>
      <w:rFonts w:ascii="Times New Roman" w:eastAsiaTheme="majorEastAsia" w:hAnsi="Times New Roman" w:cstheme="majorBidi"/>
      <w:b/>
      <w:bCs/>
      <w:color w:val="4F81BD" w:themeColor="accent1"/>
    </w:rPr>
  </w:style>
  <w:style w:type="character" w:customStyle="1" w:styleId="Naslov4Znak">
    <w:name w:val="Naslov 4 Znak"/>
    <w:basedOn w:val="Privzetapisavaodstavka"/>
    <w:link w:val="Naslov4"/>
    <w:uiPriority w:val="9"/>
    <w:rsid w:val="0098387C"/>
    <w:rPr>
      <w:rFonts w:ascii="Times New Roman" w:eastAsiaTheme="majorEastAsia" w:hAnsi="Times New Roman" w:cstheme="majorBidi"/>
      <w:b/>
      <w:bCs/>
      <w:i/>
      <w:iCs/>
      <w:color w:val="4F81BD" w:themeColor="accent1"/>
    </w:rPr>
  </w:style>
  <w:style w:type="character" w:customStyle="1" w:styleId="Naslov5Znak">
    <w:name w:val="Naslov 5 Znak"/>
    <w:basedOn w:val="Privzetapisavaodstavka"/>
    <w:link w:val="Naslov5"/>
    <w:uiPriority w:val="9"/>
    <w:rsid w:val="0098387C"/>
    <w:rPr>
      <w:rFonts w:ascii="Times New Roman" w:eastAsiaTheme="majorEastAsia" w:hAnsi="Times New Roman" w:cstheme="majorBidi"/>
      <w:color w:val="243F60" w:themeColor="accent1" w:themeShade="7F"/>
    </w:rPr>
  </w:style>
  <w:style w:type="character" w:customStyle="1" w:styleId="Naslov2Znak">
    <w:name w:val="Naslov 2 Znak"/>
    <w:basedOn w:val="Privzetapisavaodstavka"/>
    <w:link w:val="Naslov2"/>
    <w:uiPriority w:val="9"/>
    <w:rsid w:val="006B1C8B"/>
    <w:rPr>
      <w:rFonts w:ascii="Times New Roman" w:eastAsiaTheme="majorEastAsia" w:hAnsi="Times New Roman" w:cstheme="majorBidi"/>
      <w:b/>
      <w:bCs/>
      <w:color w:val="4F81BD" w:themeColor="accent1"/>
      <w:sz w:val="26"/>
      <w:szCs w:val="26"/>
    </w:rPr>
  </w:style>
  <w:style w:type="character" w:customStyle="1" w:styleId="Naslov6Znak">
    <w:name w:val="Naslov 6 Znak"/>
    <w:basedOn w:val="Privzetapisavaodstavka"/>
    <w:link w:val="Naslov6"/>
    <w:uiPriority w:val="9"/>
    <w:rsid w:val="00301D4F"/>
    <w:rPr>
      <w:rFonts w:ascii="Times New Roman" w:eastAsiaTheme="majorEastAsia" w:hAnsi="Times New Roman" w:cstheme="majorBidi"/>
      <w:i/>
      <w:iCs/>
      <w:color w:val="243F60" w:themeColor="accent1" w:themeShade="7F"/>
    </w:rPr>
  </w:style>
  <w:style w:type="character" w:customStyle="1" w:styleId="Naslov7Znak">
    <w:name w:val="Naslov 7 Znak"/>
    <w:basedOn w:val="Privzetapisavaodstavka"/>
    <w:link w:val="Naslov7"/>
    <w:uiPriority w:val="9"/>
    <w:semiHidden/>
    <w:rsid w:val="00301D4F"/>
    <w:rPr>
      <w:rFonts w:ascii="Times New Roman" w:eastAsiaTheme="majorEastAsia" w:hAnsi="Times New Roman" w:cstheme="majorBidi"/>
      <w:i/>
      <w:iCs/>
      <w:color w:val="404040" w:themeColor="text1" w:themeTint="BF"/>
    </w:rPr>
  </w:style>
  <w:style w:type="paragraph" w:styleId="Naslov">
    <w:name w:val="Title"/>
    <w:basedOn w:val="Navaden"/>
    <w:next w:val="Navaden"/>
    <w:link w:val="NaslovZnak"/>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Naslov8Znak">
    <w:name w:val="Naslov 8 Znak"/>
    <w:basedOn w:val="Privzetapisavaodstavka"/>
    <w:link w:val="Naslov8"/>
    <w:uiPriority w:val="9"/>
    <w:rsid w:val="0063409C"/>
    <w:rPr>
      <w:rFonts w:ascii="Times New Roman" w:eastAsiaTheme="majorEastAsia" w:hAnsi="Times New Roman" w:cstheme="majorBidi"/>
      <w:color w:val="404040" w:themeColor="text1" w:themeTint="BF"/>
      <w:sz w:val="20"/>
      <w:szCs w:val="20"/>
    </w:rPr>
  </w:style>
  <w:style w:type="character" w:customStyle="1" w:styleId="Naslov9Znak">
    <w:name w:val="Naslov 9 Znak"/>
    <w:basedOn w:val="Privzetapisavaodstavka"/>
    <w:link w:val="Naslov9"/>
    <w:uiPriority w:val="9"/>
    <w:rsid w:val="0063409C"/>
    <w:rPr>
      <w:rFonts w:ascii="Times New Roman" w:eastAsiaTheme="majorEastAsia" w:hAnsi="Times New Roman" w:cstheme="majorBidi"/>
      <w:i/>
      <w:iCs/>
      <w:color w:val="404040" w:themeColor="text1" w:themeTint="BF"/>
      <w:sz w:val="20"/>
      <w:szCs w:val="20"/>
    </w:rPr>
  </w:style>
  <w:style w:type="paragraph" w:styleId="Navadensplet">
    <w:name w:val="Normal (Web)"/>
    <w:basedOn w:val="Navaden"/>
    <w:uiPriority w:val="99"/>
    <w:unhideWhenUsed/>
    <w:rsid w:val="002B43F2"/>
    <w:pPr>
      <w:spacing w:after="135"/>
    </w:pPr>
    <w:rPr>
      <w:rFonts w:eastAsia="Times New Roman"/>
      <w:color w:val="333333"/>
      <w:sz w:val="12"/>
      <w:szCs w:val="12"/>
      <w:lang w:eastAsia="sl-SI"/>
    </w:rPr>
  </w:style>
  <w:style w:type="paragraph" w:customStyle="1" w:styleId="esegmentp1">
    <w:name w:val="esegment_p1"/>
    <w:basedOn w:val="Navaden"/>
    <w:rsid w:val="002B43F2"/>
    <w:pPr>
      <w:spacing w:after="135"/>
      <w:jc w:val="center"/>
    </w:pPr>
    <w:rPr>
      <w:rFonts w:eastAsia="Times New Roman"/>
      <w:color w:val="333333"/>
      <w:sz w:val="12"/>
      <w:szCs w:val="12"/>
      <w:lang w:eastAsia="sl-SI"/>
    </w:rPr>
  </w:style>
  <w:style w:type="paragraph" w:customStyle="1" w:styleId="esegmenth4">
    <w:name w:val="esegment_h4"/>
    <w:basedOn w:val="Navaden"/>
    <w:rsid w:val="002B43F2"/>
    <w:pPr>
      <w:spacing w:after="135"/>
      <w:jc w:val="center"/>
    </w:pPr>
    <w:rPr>
      <w:rFonts w:eastAsia="Times New Roman"/>
      <w:b/>
      <w:bCs/>
      <w:color w:val="333333"/>
      <w:sz w:val="12"/>
      <w:szCs w:val="12"/>
      <w:lang w:eastAsia="sl-SI"/>
    </w:rPr>
  </w:style>
  <w:style w:type="paragraph" w:customStyle="1" w:styleId="esegmentt">
    <w:name w:val="esegment_t"/>
    <w:basedOn w:val="Navaden"/>
    <w:rsid w:val="002B43F2"/>
    <w:pPr>
      <w:spacing w:after="135" w:line="360" w:lineRule="atLeast"/>
      <w:jc w:val="center"/>
    </w:pPr>
    <w:rPr>
      <w:rFonts w:eastAsia="Times New Roman"/>
      <w:b/>
      <w:bCs/>
      <w:color w:val="6B7E9D"/>
      <w:sz w:val="31"/>
      <w:szCs w:val="31"/>
      <w:lang w:eastAsia="sl-SI"/>
    </w:rPr>
  </w:style>
  <w:style w:type="paragraph" w:customStyle="1" w:styleId="esegmentc1">
    <w:name w:val="esegment_c1"/>
    <w:basedOn w:val="Navaden"/>
    <w:rsid w:val="002B43F2"/>
    <w:pPr>
      <w:spacing w:after="135"/>
    </w:pPr>
    <w:rPr>
      <w:rFonts w:eastAsia="Times New Roman"/>
      <w:color w:val="333333"/>
      <w:sz w:val="12"/>
      <w:szCs w:val="12"/>
      <w:lang w:eastAsia="sl-SI"/>
    </w:rPr>
  </w:style>
  <w:style w:type="character" w:styleId="Pripombasklic">
    <w:name w:val="annotation reference"/>
    <w:basedOn w:val="Privzetapisavaodstavka"/>
    <w:uiPriority w:val="99"/>
    <w:semiHidden/>
    <w:unhideWhenUsed/>
    <w:rsid w:val="00D40CA1"/>
    <w:rPr>
      <w:sz w:val="16"/>
      <w:szCs w:val="16"/>
    </w:rPr>
  </w:style>
  <w:style w:type="paragraph" w:styleId="Pripombabesedilo">
    <w:name w:val="annotation text"/>
    <w:basedOn w:val="Navaden"/>
    <w:link w:val="PripombabesediloZnak"/>
    <w:uiPriority w:val="99"/>
    <w:semiHidden/>
    <w:unhideWhenUsed/>
    <w:rsid w:val="00D40CA1"/>
    <w:rPr>
      <w:sz w:val="20"/>
      <w:szCs w:val="20"/>
    </w:rPr>
  </w:style>
  <w:style w:type="character" w:customStyle="1" w:styleId="PripombabesediloZnak">
    <w:name w:val="Pripomba – besedilo Znak"/>
    <w:basedOn w:val="Privzetapisavaodstavka"/>
    <w:link w:val="Pripombabesedilo"/>
    <w:uiPriority w:val="99"/>
    <w:semiHidden/>
    <w:rsid w:val="00D40CA1"/>
    <w:rPr>
      <w:rFonts w:ascii="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D40CA1"/>
    <w:rPr>
      <w:b/>
      <w:bCs/>
    </w:rPr>
  </w:style>
  <w:style w:type="character" w:customStyle="1" w:styleId="ZadevapripombeZnak">
    <w:name w:val="Zadeva pripombe Znak"/>
    <w:basedOn w:val="PripombabesediloZnak"/>
    <w:link w:val="Zadevapripombe"/>
    <w:uiPriority w:val="99"/>
    <w:semiHidden/>
    <w:rsid w:val="00D40CA1"/>
    <w:rPr>
      <w:rFonts w:ascii="Times New Roman" w:hAnsi="Times New Roman" w:cs="Times New Roman"/>
      <w:b/>
      <w:bCs/>
      <w:sz w:val="20"/>
      <w:szCs w:val="20"/>
    </w:rPr>
  </w:style>
  <w:style w:type="paragraph" w:styleId="Besedilooblaka">
    <w:name w:val="Balloon Text"/>
    <w:basedOn w:val="Navaden"/>
    <w:link w:val="BesedilooblakaZnak"/>
    <w:uiPriority w:val="99"/>
    <w:semiHidden/>
    <w:unhideWhenUsed/>
    <w:rsid w:val="00D40CA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40CA1"/>
    <w:rPr>
      <w:rFonts w:ascii="Tahoma" w:hAnsi="Tahoma" w:cs="Tahoma"/>
      <w:sz w:val="16"/>
      <w:szCs w:val="16"/>
    </w:rPr>
  </w:style>
  <w:style w:type="paragraph" w:styleId="Odstavekseznama">
    <w:name w:val="List Paragraph"/>
    <w:basedOn w:val="Navaden"/>
    <w:uiPriority w:val="34"/>
    <w:qFormat/>
    <w:rsid w:val="00711A28"/>
    <w:pPr>
      <w:ind w:left="720"/>
      <w:contextualSpacing/>
    </w:pPr>
  </w:style>
  <w:style w:type="paragraph" w:styleId="Glava">
    <w:name w:val="header"/>
    <w:basedOn w:val="Navaden"/>
    <w:link w:val="GlavaZnak"/>
    <w:uiPriority w:val="99"/>
    <w:unhideWhenUsed/>
    <w:rsid w:val="000A317A"/>
    <w:pPr>
      <w:tabs>
        <w:tab w:val="center" w:pos="4536"/>
        <w:tab w:val="right" w:pos="9072"/>
      </w:tabs>
    </w:pPr>
  </w:style>
  <w:style w:type="character" w:customStyle="1" w:styleId="GlavaZnak">
    <w:name w:val="Glava Znak"/>
    <w:basedOn w:val="Privzetapisavaodstavka"/>
    <w:link w:val="Glava"/>
    <w:uiPriority w:val="99"/>
    <w:rsid w:val="000A317A"/>
    <w:rPr>
      <w:rFonts w:ascii="Times New Roman" w:hAnsi="Times New Roman" w:cs="Times New Roman"/>
    </w:rPr>
  </w:style>
  <w:style w:type="paragraph" w:styleId="Noga">
    <w:name w:val="footer"/>
    <w:basedOn w:val="Navaden"/>
    <w:link w:val="NogaZnak"/>
    <w:uiPriority w:val="99"/>
    <w:unhideWhenUsed/>
    <w:rsid w:val="000A317A"/>
    <w:pPr>
      <w:tabs>
        <w:tab w:val="center" w:pos="4536"/>
        <w:tab w:val="right" w:pos="9072"/>
      </w:tabs>
    </w:pPr>
  </w:style>
  <w:style w:type="character" w:customStyle="1" w:styleId="NogaZnak">
    <w:name w:val="Noga Znak"/>
    <w:basedOn w:val="Privzetapisavaodstavka"/>
    <w:link w:val="Noga"/>
    <w:uiPriority w:val="99"/>
    <w:rsid w:val="000A317A"/>
    <w:rPr>
      <w:rFonts w:ascii="Times New Roman" w:hAnsi="Times New Roman" w:cs="Times New Roman"/>
    </w:rPr>
  </w:style>
  <w:style w:type="paragraph" w:styleId="Telobesedila2">
    <w:name w:val="Body Text 2"/>
    <w:basedOn w:val="Navaden"/>
    <w:link w:val="Telobesedila2Znak"/>
    <w:rsid w:val="000A2D66"/>
    <w:pPr>
      <w:jc w:val="both"/>
    </w:pPr>
    <w:rPr>
      <w:rFonts w:eastAsia="Times New Roman"/>
      <w:sz w:val="24"/>
      <w:szCs w:val="20"/>
      <w:lang w:eastAsia="sl-SI"/>
    </w:rPr>
  </w:style>
  <w:style w:type="character" w:customStyle="1" w:styleId="Telobesedila2Znak">
    <w:name w:val="Telo besedila 2 Znak"/>
    <w:basedOn w:val="Privzetapisavaodstavka"/>
    <w:link w:val="Telobesedila2"/>
    <w:rsid w:val="000A2D66"/>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61267">
      <w:bodyDiv w:val="1"/>
      <w:marLeft w:val="0"/>
      <w:marRight w:val="0"/>
      <w:marTop w:val="0"/>
      <w:marBottom w:val="0"/>
      <w:divBdr>
        <w:top w:val="none" w:sz="0" w:space="0" w:color="auto"/>
        <w:left w:val="none" w:sz="0" w:space="0" w:color="auto"/>
        <w:bottom w:val="none" w:sz="0" w:space="0" w:color="auto"/>
        <w:right w:val="none" w:sz="0" w:space="0" w:color="auto"/>
      </w:divBdr>
      <w:divsChild>
        <w:div w:id="2083940851">
          <w:marLeft w:val="0"/>
          <w:marRight w:val="0"/>
          <w:marTop w:val="0"/>
          <w:marBottom w:val="0"/>
          <w:divBdr>
            <w:top w:val="none" w:sz="0" w:space="0" w:color="auto"/>
            <w:left w:val="none" w:sz="0" w:space="0" w:color="auto"/>
            <w:bottom w:val="none" w:sz="0" w:space="0" w:color="auto"/>
            <w:right w:val="none" w:sz="0" w:space="0" w:color="auto"/>
          </w:divBdr>
          <w:divsChild>
            <w:div w:id="722363589">
              <w:marLeft w:val="0"/>
              <w:marRight w:val="39"/>
              <w:marTop w:val="0"/>
              <w:marBottom w:val="0"/>
              <w:divBdr>
                <w:top w:val="none" w:sz="0" w:space="0" w:color="auto"/>
                <w:left w:val="none" w:sz="0" w:space="0" w:color="auto"/>
                <w:bottom w:val="none" w:sz="0" w:space="0" w:color="auto"/>
                <w:right w:val="none" w:sz="0" w:space="0" w:color="auto"/>
              </w:divBdr>
              <w:divsChild>
                <w:div w:id="701394426">
                  <w:marLeft w:val="0"/>
                  <w:marRight w:val="0"/>
                  <w:marTop w:val="0"/>
                  <w:marBottom w:val="97"/>
                  <w:divBdr>
                    <w:top w:val="none" w:sz="0" w:space="0" w:color="auto"/>
                    <w:left w:val="none" w:sz="0" w:space="0" w:color="auto"/>
                    <w:bottom w:val="none" w:sz="0" w:space="0" w:color="auto"/>
                    <w:right w:val="none" w:sz="0" w:space="0" w:color="auto"/>
                  </w:divBdr>
                  <w:divsChild>
                    <w:div w:id="850607139">
                      <w:marLeft w:val="0"/>
                      <w:marRight w:val="0"/>
                      <w:marTop w:val="0"/>
                      <w:marBottom w:val="0"/>
                      <w:divBdr>
                        <w:top w:val="none" w:sz="0" w:space="0" w:color="auto"/>
                        <w:left w:val="none" w:sz="0" w:space="0" w:color="auto"/>
                        <w:bottom w:val="none" w:sz="0" w:space="0" w:color="auto"/>
                        <w:right w:val="none" w:sz="0" w:space="0" w:color="auto"/>
                      </w:divBdr>
                      <w:divsChild>
                        <w:div w:id="9848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75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332CC08-180E-4983-B62E-B764DF538F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1BE000-2CC5-489B-B786-88537DF2C2A4}">
  <ds:schemaRefs>
    <ds:schemaRef ds:uri="http://schemas.microsoft.com/sharepoint/v3/contenttype/forms"/>
  </ds:schemaRefs>
</ds:datastoreItem>
</file>

<file path=customXml/itemProps3.xml><?xml version="1.0" encoding="utf-8"?>
<ds:datastoreItem xmlns:ds="http://schemas.openxmlformats.org/officeDocument/2006/customXml" ds:itemID="{5BC793DD-062B-4577-A9C8-DAA69DC66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C8BAE8E-F9D0-4476-8795-902D97A5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875</Words>
  <Characters>4993</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Banka Slovenije</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ban</dc:creator>
  <cp:lastModifiedBy>sandra ban</cp:lastModifiedBy>
  <cp:revision>1</cp:revision>
  <cp:lastPrinted>2018-03-14T08:51:00Z</cp:lastPrinted>
  <dcterms:created xsi:type="dcterms:W3CDTF">2018-04-04T06:49:00Z</dcterms:created>
  <dcterms:modified xsi:type="dcterms:W3CDTF">2018-04-04T06:49:00Z</dcterms:modified>
</cp:coreProperties>
</file>