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3728" w:rsidRDefault="005F3728" w:rsidP="00D54F35">
      <w:pPr>
        <w:rPr>
          <w:b/>
        </w:rPr>
      </w:pPr>
      <w:r>
        <w:rPr>
          <w:b/>
        </w:rPr>
        <w:t xml:space="preserve">TRANSAKCIJE ZNOTRAJ SKUPINE KOT IZJEME </w:t>
      </w:r>
    </w:p>
    <w:p w:rsidR="005F3728" w:rsidRDefault="005F3728" w:rsidP="00D54F35">
      <w:pPr>
        <w:rPr>
          <w:b/>
        </w:rPr>
      </w:pPr>
    </w:p>
    <w:p w:rsidR="006759AD" w:rsidRPr="00AE118B" w:rsidRDefault="00A16933" w:rsidP="00D54F35">
      <w:pPr>
        <w:rPr>
          <w:b/>
        </w:rPr>
      </w:pPr>
      <w:r w:rsidRPr="005F3728">
        <w:rPr>
          <w:b/>
          <w:smallCaps/>
        </w:rPr>
        <w:t xml:space="preserve">Transakcije znotraj skupine kot </w:t>
      </w:r>
      <w:r w:rsidRPr="005F3728">
        <w:rPr>
          <w:b/>
          <w:smallCaps/>
          <w:u w:val="single"/>
        </w:rPr>
        <w:t xml:space="preserve">izjeme </w:t>
      </w:r>
      <w:r w:rsidR="0021271B" w:rsidRPr="005F3728">
        <w:rPr>
          <w:b/>
          <w:smallCaps/>
          <w:u w:val="single"/>
        </w:rPr>
        <w:t xml:space="preserve">glede </w:t>
      </w:r>
      <w:r w:rsidR="006759AD" w:rsidRPr="005F3728">
        <w:rPr>
          <w:b/>
          <w:smallCaps/>
          <w:u w:val="single"/>
        </w:rPr>
        <w:t>kliringa</w:t>
      </w:r>
      <w:r w:rsidR="00AE118B">
        <w:rPr>
          <w:b/>
        </w:rPr>
        <w:t xml:space="preserve"> </w:t>
      </w:r>
      <w:r w:rsidR="00AE118B" w:rsidRPr="00F763CC">
        <w:t>(</w:t>
      </w:r>
      <w:r w:rsidR="00AE118B">
        <w:t>4 (2) člen EMIR)</w:t>
      </w:r>
    </w:p>
    <w:p w:rsidR="00BE3F22" w:rsidRDefault="000A13A0" w:rsidP="00BE3F22">
      <w:pPr>
        <w:jc w:val="both"/>
        <w:rPr>
          <w:sz w:val="20"/>
          <w:szCs w:val="20"/>
        </w:rPr>
      </w:pPr>
      <w:r>
        <w:t xml:space="preserve">Nasprotne stranke lahko v zvezi s transakcijami znotraj skupine </w:t>
      </w:r>
      <w:r w:rsidR="003073F1">
        <w:t xml:space="preserve">pisno </w:t>
      </w:r>
      <w:r>
        <w:t xml:space="preserve">obvestijo oziroma oddajo vloge za izvzetje </w:t>
      </w:r>
      <w:r w:rsidR="007C46C8">
        <w:t>iz</w:t>
      </w:r>
      <w:r>
        <w:t xml:space="preserve"> obveznosti kliringa po uveljavitvi prvega RTS o obveznostih kliringa, pri čemer zadostuje en</w:t>
      </w:r>
      <w:r w:rsidR="00B605AA">
        <w:t>o uradno obvestilo</w:t>
      </w:r>
      <w:r>
        <w:t xml:space="preserve"> oziroma vloga ne glede na to, ali so razredi IFI OTC, za katere so oddali </w:t>
      </w:r>
      <w:r w:rsidR="00B605AA">
        <w:t>uradno obvestilo</w:t>
      </w:r>
      <w:r>
        <w:t xml:space="preserve"> oziroma vlogo, vključeni v RTS.</w:t>
      </w:r>
      <w:r w:rsidR="00BE3F22" w:rsidRPr="00BE3F22">
        <w:t xml:space="preserve"> </w:t>
      </w:r>
      <w:r w:rsidR="00BE3F22">
        <w:t xml:space="preserve">Upravičenost do uveljavljanja izjeme je prikazana na sliki, postopek odločanja o izjemah (ki se razlikuje glede na sedež nasprotnih strank) pa je povzet v spodnji tabeli. </w:t>
      </w:r>
    </w:p>
    <w:p w:rsidR="000A13A0" w:rsidRDefault="00CC2D1D" w:rsidP="00D54F35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39.25pt;margin-top:11.55pt;width:23.75pt;height:8.4pt;z-index:251706368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9.95pt;margin-top:10.45pt;width:.35pt;height:69.95pt;z-index:251700224" o:connectortype="straight"/>
        </w:pict>
      </w:r>
      <w:r>
        <w:rPr>
          <w:noProof/>
          <w:lang w:eastAsia="sl-SI"/>
        </w:rPr>
        <w:pict>
          <v:shape id="_x0000_s1068" type="#_x0000_t32" style="position:absolute;margin-left:40.3pt;margin-top:10.45pt;width:125.9pt;height:0;flip:x;z-index:251699200" o:connectortype="straight"/>
        </w:pict>
      </w:r>
      <w:r>
        <w:rPr>
          <w:noProof/>
          <w:lang w:eastAsia="sl-SI"/>
        </w:rPr>
        <w:pict>
          <v:shape id="_x0000_s1057" type="#_x0000_t202" style="position:absolute;margin-left:166.2pt;margin-top:1.4pt;width:123.7pt;height:21.65pt;z-index:251687936">
            <v:textbox inset=",.57mm,,.57mm">
              <w:txbxContent>
                <w:p w:rsidR="007807A4" w:rsidRPr="007446E7" w:rsidRDefault="007807A4" w:rsidP="007807A4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je </w:t>
                  </w:r>
                  <w:r w:rsidR="009464E0">
                    <w:rPr>
                      <w:sz w:val="14"/>
                      <w:szCs w:val="14"/>
                    </w:rPr>
                    <w:t>nasprotna stranka v poslu F</w:t>
                  </w:r>
                  <w:r w:rsidR="002D0090">
                    <w:rPr>
                      <w:sz w:val="14"/>
                      <w:szCs w:val="14"/>
                    </w:rPr>
                    <w:t>C+</w:t>
                  </w:r>
                  <w:r w:rsidR="009464E0">
                    <w:rPr>
                      <w:sz w:val="14"/>
                      <w:szCs w:val="14"/>
                    </w:rPr>
                    <w:t xml:space="preserve"> oziroma N</w:t>
                  </w:r>
                  <w:r w:rsidR="002D0090">
                    <w:rPr>
                      <w:sz w:val="14"/>
                      <w:szCs w:val="14"/>
                    </w:rPr>
                    <w:t>FC</w:t>
                  </w:r>
                  <w:r w:rsidR="009464E0">
                    <w:rPr>
                      <w:sz w:val="14"/>
                      <w:szCs w:val="14"/>
                    </w:rPr>
                    <w:t>+</w:t>
                  </w:r>
                  <w:r>
                    <w:rPr>
                      <w:sz w:val="14"/>
                      <w:szCs w:val="14"/>
                    </w:rPr>
                    <w:t>?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81" type="#_x0000_t202" style="position:absolute;margin-left:231.65pt;margin-top:10.4pt;width:23.75pt;height:8.4pt;z-index:251712512" filled="f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2" type="#_x0000_t32" style="position:absolute;margin-left:227.65pt;margin-top:10.4pt;width:.35pt;height:15.05pt;z-index:251693056" o:connectortype="straight">
            <v:stroke endarrow="block"/>
          </v:shape>
        </w:pict>
      </w:r>
    </w:p>
    <w:p w:rsidR="00027ED8" w:rsidRDefault="00027ED8" w:rsidP="00D54F35"/>
    <w:p w:rsidR="00027ED8" w:rsidRDefault="00CC2D1D" w:rsidP="00D54F35">
      <w:r>
        <w:rPr>
          <w:noProof/>
          <w:lang w:eastAsia="sl-SI"/>
        </w:rPr>
        <w:pict>
          <v:shape id="_x0000_s1058" type="#_x0000_t202" style="position:absolute;margin-left:166.2pt;margin-top:.15pt;width:123.7pt;height:29.15pt;z-index:251688960">
            <v:textbox inset=",.57mm,,.57mm">
              <w:txbxContent>
                <w:p w:rsidR="009464E0" w:rsidRPr="007446E7" w:rsidRDefault="009464E0" w:rsidP="009464E0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</w:t>
                  </w:r>
                  <w:r>
                    <w:rPr>
                      <w:sz w:val="14"/>
                      <w:szCs w:val="14"/>
                    </w:rPr>
                    <w:t>ima</w:t>
                  </w:r>
                  <w:r w:rsidRPr="007446E7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nasprotna stranka sedež v EU oziroma v ekvivalentnih državah</w:t>
                  </w:r>
                  <w:r w:rsidR="00EC2FF3" w:rsidRPr="00EC2FF3">
                    <w:rPr>
                      <w:sz w:val="14"/>
                      <w:szCs w:val="14"/>
                    </w:rPr>
                    <w:t xml:space="preserve"> </w:t>
                  </w:r>
                  <w:r w:rsidR="00EC2FF3">
                    <w:rPr>
                      <w:sz w:val="14"/>
                      <w:szCs w:val="14"/>
                    </w:rPr>
                    <w:t>izven EU</w:t>
                  </w:r>
                  <w:r>
                    <w:rPr>
                      <w:sz w:val="14"/>
                      <w:szCs w:val="1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76" type="#_x0000_t202" style="position:absolute;margin-left:139.5pt;margin-top:.55pt;width:23.75pt;height:8.4pt;z-index:251707392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  <w:r w:rsidR="00361472">
                    <w:rPr>
                      <w:sz w:val="10"/>
                      <w:szCs w:val="10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56" type="#_x0000_t202" style="position:absolute;margin-left:366.5pt;margin-top:.15pt;width:87.35pt;height:21.65pt;z-index:251686912">
            <v:textbox inset=",.57mm,,.57mm">
              <w:txbxContent>
                <w:p w:rsidR="00027ED8" w:rsidRPr="006C3BAA" w:rsidRDefault="00027ED8" w:rsidP="00027ED8">
                  <w:pPr>
                    <w:jc w:val="center"/>
                    <w:rPr>
                      <w:color w:val="00B050"/>
                      <w:sz w:val="14"/>
                      <w:szCs w:val="14"/>
                    </w:rPr>
                  </w:pP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izvzetje </w:t>
                  </w:r>
                  <w:r w:rsidR="00C92473">
                    <w:rPr>
                      <w:color w:val="00B050"/>
                      <w:sz w:val="14"/>
                      <w:szCs w:val="14"/>
                    </w:rPr>
                    <w:t>iz</w:t>
                  </w:r>
                  <w:r w:rsidR="00F3592E">
                    <w:rPr>
                      <w:color w:val="00B050"/>
                      <w:sz w:val="14"/>
                      <w:szCs w:val="14"/>
                    </w:rPr>
                    <w:t xml:space="preserve"> </w:t>
                  </w:r>
                  <w:r w:rsidR="001B4E16">
                    <w:rPr>
                      <w:color w:val="00B050"/>
                      <w:sz w:val="14"/>
                      <w:szCs w:val="14"/>
                    </w:rPr>
                    <w:t>obveznosti</w:t>
                  </w:r>
                  <w:r w:rsidR="00F3592E">
                    <w:rPr>
                      <w:color w:val="00B050"/>
                      <w:sz w:val="14"/>
                      <w:szCs w:val="14"/>
                    </w:rPr>
                    <w:t xml:space="preserve"> kliringa</w:t>
                  </w: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 je možno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2" type="#_x0000_t32" style="position:absolute;margin-left:40.6pt;margin-top:.6pt;width:125.9pt;height:0;flip:x;z-index:251703296" o:connectortype="straight"/>
        </w:pict>
      </w:r>
      <w:r>
        <w:rPr>
          <w:noProof/>
          <w:lang w:eastAsia="sl-SI"/>
        </w:rPr>
        <w:pict>
          <v:shape id="_x0000_s1067" type="#_x0000_t32" style="position:absolute;margin-left:413.55pt;margin-top:9.15pt;width:.05pt;height:111.95pt;flip:y;z-index:251698176" o:connectortype="straight">
            <v:stroke endarrow="block"/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82" type="#_x0000_t202" style="position:absolute;margin-left:231.65pt;margin-top:3.2pt;width:23.75pt;height:8.4pt;z-index:251713536" filled="f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6" type="#_x0000_t32" style="position:absolute;margin-left:227.3pt;margin-top:4pt;width:.35pt;height:12.45pt;z-index:251697152" o:connectortype="straight">
            <v:stroke endarrow="block"/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7" type="#_x0000_t202" style="position:absolute;margin-left:139.5pt;margin-top:1.2pt;width:23.75pt;height:8.4pt;z-index:251708416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3" type="#_x0000_t32" style="position:absolute;margin-left:40.3pt;margin-top:4.5pt;width:.3pt;height:76.6pt;z-index:251694080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59" type="#_x0000_t202" style="position:absolute;margin-left:166.2pt;margin-top:4.5pt;width:123.7pt;height:21.65pt;z-index:251689984">
            <v:textbox inset=",.57mm,,.57mm">
              <w:txbxContent>
                <w:p w:rsidR="009464E0" w:rsidRPr="007446E7" w:rsidRDefault="009464E0" w:rsidP="009464E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obe nasprotni stranki pripadata isti skupini?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3" type="#_x0000_t32" style="position:absolute;margin-left:40.6pt;margin-top:1.15pt;width:125.9pt;height:0;flip:x;z-index:251704320" o:connectortype="straight"/>
        </w:pict>
      </w:r>
    </w:p>
    <w:p w:rsidR="00027ED8" w:rsidRDefault="00CC2D1D" w:rsidP="00D54F35">
      <w:r>
        <w:rPr>
          <w:noProof/>
          <w:lang w:eastAsia="sl-SI"/>
        </w:rPr>
        <w:pict>
          <v:shape id="_x0000_s1084" type="#_x0000_t202" style="position:absolute;margin-left:231.65pt;margin-top:.85pt;width:23.75pt;height:8.4pt;z-index:251715584" filled="f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5" type="#_x0000_t32" style="position:absolute;margin-left:226.95pt;margin-top:1.9pt;width:.35pt;height:15.05pt;z-index:251696128" o:connectortype="straight">
            <v:stroke endarrow="block"/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8" type="#_x0000_t202" style="position:absolute;margin-left:139.5pt;margin-top:1.25pt;width:23.75pt;height:8.4pt;z-index:251709440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0" type="#_x0000_t202" style="position:absolute;margin-left:166.2pt;margin-top:4.3pt;width:123.7pt;height:21.65pt;z-index:251691008">
            <v:textbox inset=",.57mm,,.57mm">
              <w:txbxContent>
                <w:p w:rsidR="009464E0" w:rsidRPr="007446E7" w:rsidRDefault="009464E0" w:rsidP="009464E0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</w:t>
                  </w:r>
                  <w:r>
                    <w:rPr>
                      <w:sz w:val="14"/>
                      <w:szCs w:val="14"/>
                    </w:rPr>
                    <w:t>sta obe nasprotni stranki vključeni v isto konsolidirano poročilo?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1" type="#_x0000_t32" style="position:absolute;margin-left:40.6pt;margin-top:1.35pt;width:125.9pt;height:0;flip:x;z-index:251702272" o:connectortype="straight"/>
        </w:pict>
      </w:r>
    </w:p>
    <w:p w:rsidR="00027ED8" w:rsidRDefault="00CC2D1D" w:rsidP="00D54F35">
      <w:r>
        <w:rPr>
          <w:noProof/>
          <w:lang w:eastAsia="sl-SI"/>
        </w:rPr>
        <w:pict>
          <v:shape id="_x0000_s1085" type="#_x0000_t202" style="position:absolute;margin-left:231.65pt;margin-top:.65pt;width:23.75pt;height:8.4pt;z-index:251716608" filled="f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4" type="#_x0000_t32" style="position:absolute;margin-left:226.6pt;margin-top:.65pt;width:.35pt;height:14.35pt;z-index:251695104" o:connectortype="straight">
            <v:stroke endarrow="block"/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86" type="#_x0000_t202" style="position:absolute;margin-left:292.2pt;margin-top:6.9pt;width:23.75pt;height:8.4pt;z-index:251717632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80" type="#_x0000_t202" style="position:absolute;margin-left:139.5pt;margin-top:2.35pt;width:23.75pt;height:8.4pt;z-index:251711488" stroked="f">
            <v:textbox inset=",.57mm,,.57mm">
              <w:txbxContent>
                <w:p w:rsidR="00F26F3C" w:rsidRPr="00D20A11" w:rsidRDefault="00F26F3C" w:rsidP="00F26F3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55" type="#_x0000_t202" style="position:absolute;margin-left:-2.35pt;margin-top:5.2pt;width:87.35pt;height:21.65pt;z-index:251685888">
            <v:textbox inset=",.57mm,,.57mm">
              <w:txbxContent>
                <w:p w:rsidR="00027ED8" w:rsidRPr="006C3BAA" w:rsidRDefault="00027ED8" w:rsidP="00027ED8">
                  <w:pPr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izvzetje </w:t>
                  </w:r>
                  <w:r w:rsidR="00C92473">
                    <w:rPr>
                      <w:color w:val="FF0000"/>
                      <w:sz w:val="14"/>
                      <w:szCs w:val="14"/>
                    </w:rPr>
                    <w:t>iz</w:t>
                  </w: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 izmenjave </w:t>
                  </w:r>
                  <w:r w:rsidR="00F3592E">
                    <w:rPr>
                      <w:color w:val="FF0000"/>
                      <w:sz w:val="14"/>
                      <w:szCs w:val="14"/>
                    </w:rPr>
                    <w:t>kliringa</w:t>
                  </w: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 ni možno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61" type="#_x0000_t202" style="position:absolute;margin-left:166.2pt;margin-top:2pt;width:123.7pt;height:28.95pt;z-index:251692032">
            <v:textbox inset=",.57mm,,.57mm">
              <w:txbxContent>
                <w:p w:rsidR="009464E0" w:rsidRPr="007446E7" w:rsidRDefault="009464E0" w:rsidP="009464E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imata obe nasprotni stranki vzpostavljen ustrezen centraliziran sistem upravljanja tveganj?</w:t>
                  </w:r>
                </w:p>
              </w:txbxContent>
            </v:textbox>
          </v:shape>
        </w:pict>
      </w:r>
    </w:p>
    <w:p w:rsidR="00027ED8" w:rsidRDefault="00CC2D1D" w:rsidP="00D54F35">
      <w:r>
        <w:rPr>
          <w:noProof/>
          <w:lang w:eastAsia="sl-SI"/>
        </w:rPr>
        <w:pict>
          <v:shape id="_x0000_s1074" type="#_x0000_t32" style="position:absolute;margin-left:85pt;margin-top:2.65pt;width:81.2pt;height:0;flip:x;z-index:251705344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70" type="#_x0000_t32" style="position:absolute;margin-left:289.9pt;margin-top:4.6pt;width:123.7pt;height:2.65pt;z-index:251701248" o:connectortype="straight"/>
        </w:pict>
      </w:r>
    </w:p>
    <w:p w:rsidR="00BE3F22" w:rsidRDefault="00BE3F22" w:rsidP="00D54F35"/>
    <w:p w:rsidR="00361472" w:rsidRDefault="00361472" w:rsidP="00361472">
      <w:pPr>
        <w:jc w:val="both"/>
        <w:rPr>
          <w:sz w:val="18"/>
          <w:szCs w:val="18"/>
        </w:rPr>
      </w:pPr>
      <w:r w:rsidRPr="00361472">
        <w:rPr>
          <w:sz w:val="18"/>
          <w:szCs w:val="18"/>
        </w:rPr>
        <w:t>*</w:t>
      </w:r>
      <w:r>
        <w:rPr>
          <w:sz w:val="18"/>
          <w:szCs w:val="18"/>
        </w:rPr>
        <w:t xml:space="preserve">Izjema: </w:t>
      </w:r>
      <w:r w:rsidR="00673784">
        <w:rPr>
          <w:sz w:val="18"/>
          <w:szCs w:val="18"/>
        </w:rPr>
        <w:t>prehodno obdobje</w:t>
      </w:r>
      <w:r>
        <w:rPr>
          <w:sz w:val="18"/>
          <w:szCs w:val="18"/>
        </w:rPr>
        <w:t xml:space="preserve"> pričetka veljavnosti obveznosti</w:t>
      </w:r>
      <w:r w:rsidR="00673784">
        <w:rPr>
          <w:sz w:val="18"/>
          <w:szCs w:val="18"/>
        </w:rPr>
        <w:t xml:space="preserve"> kliringa</w:t>
      </w:r>
      <w:r>
        <w:rPr>
          <w:sz w:val="18"/>
          <w:szCs w:val="18"/>
        </w:rPr>
        <w:t xml:space="preserve"> na podlagi izpolnjevanja pogojev iz</w:t>
      </w:r>
      <w:r w:rsidR="00A6365B">
        <w:rPr>
          <w:sz w:val="18"/>
          <w:szCs w:val="18"/>
        </w:rPr>
        <w:t xml:space="preserve"> RTS glede kliringa posameznih vrst IFI OTC</w:t>
      </w:r>
      <w:r>
        <w:rPr>
          <w:sz w:val="18"/>
          <w:szCs w:val="18"/>
        </w:rPr>
        <w:t xml:space="preserve"> </w:t>
      </w:r>
      <w:r w:rsidR="00A6365B">
        <w:rPr>
          <w:sz w:val="18"/>
          <w:szCs w:val="18"/>
        </w:rPr>
        <w:t>(</w:t>
      </w:r>
      <w:r>
        <w:rPr>
          <w:sz w:val="18"/>
          <w:szCs w:val="18"/>
        </w:rPr>
        <w:t>drug</w:t>
      </w:r>
      <w:r w:rsidR="00A6365B">
        <w:rPr>
          <w:sz w:val="18"/>
          <w:szCs w:val="18"/>
        </w:rPr>
        <w:t>i</w:t>
      </w:r>
      <w:r>
        <w:rPr>
          <w:sz w:val="18"/>
          <w:szCs w:val="18"/>
        </w:rPr>
        <w:t xml:space="preserve"> odstav</w:t>
      </w:r>
      <w:r w:rsidR="00A6365B">
        <w:rPr>
          <w:sz w:val="18"/>
          <w:szCs w:val="18"/>
        </w:rPr>
        <w:t>e</w:t>
      </w:r>
      <w:r>
        <w:rPr>
          <w:sz w:val="18"/>
          <w:szCs w:val="18"/>
        </w:rPr>
        <w:t>k 3.</w:t>
      </w:r>
      <w:r w:rsidR="001818B4">
        <w:rPr>
          <w:sz w:val="18"/>
          <w:szCs w:val="18"/>
        </w:rPr>
        <w:t> </w:t>
      </w:r>
      <w:r>
        <w:rPr>
          <w:sz w:val="18"/>
          <w:szCs w:val="18"/>
        </w:rPr>
        <w:t>člena RTS 2015/2205</w:t>
      </w:r>
      <w:r w:rsidR="00A6365B">
        <w:rPr>
          <w:sz w:val="18"/>
          <w:szCs w:val="18"/>
        </w:rPr>
        <w:t>, drugi odstavek 3. člena RTS 2016/592</w:t>
      </w:r>
      <w:r w:rsidR="002D0090">
        <w:rPr>
          <w:sz w:val="18"/>
          <w:szCs w:val="18"/>
        </w:rPr>
        <w:t xml:space="preserve"> in drugi odstavek 3. člena RTS 2016/1178</w:t>
      </w:r>
      <w:r w:rsidR="00A6365B">
        <w:rPr>
          <w:sz w:val="18"/>
          <w:szCs w:val="18"/>
        </w:rPr>
        <w:t>)</w:t>
      </w:r>
      <w:r>
        <w:rPr>
          <w:sz w:val="18"/>
          <w:szCs w:val="18"/>
        </w:rPr>
        <w:t>, o čemer je potrebno ustrezno obvestiti pristojni organ, ki potrdi izpolnjevanje teh pogojev.</w:t>
      </w:r>
    </w:p>
    <w:p w:rsidR="00673784" w:rsidRPr="00361472" w:rsidRDefault="00673784" w:rsidP="00361472">
      <w:pPr>
        <w:jc w:val="both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814D21" w:rsidRPr="001B0964" w:rsidTr="00DA42B4">
        <w:tc>
          <w:tcPr>
            <w:tcW w:w="2235" w:type="dxa"/>
            <w:vAlign w:val="center"/>
          </w:tcPr>
          <w:p w:rsidR="00814D21" w:rsidRPr="001B0964" w:rsidRDefault="00814D21" w:rsidP="00D54F35">
            <w:pPr>
              <w:jc w:val="center"/>
              <w:rPr>
                <w:i/>
                <w:sz w:val="20"/>
                <w:szCs w:val="20"/>
              </w:rPr>
            </w:pPr>
            <w:r w:rsidRPr="001B0964">
              <w:rPr>
                <w:i/>
                <w:sz w:val="20"/>
                <w:szCs w:val="20"/>
              </w:rPr>
              <w:t>Nasprotna stranka</w:t>
            </w:r>
            <w:r w:rsidR="00582CB4">
              <w:rPr>
                <w:i/>
                <w:sz w:val="20"/>
                <w:szCs w:val="20"/>
              </w:rPr>
              <w:t xml:space="preserve"> v poslu</w:t>
            </w:r>
          </w:p>
        </w:tc>
        <w:tc>
          <w:tcPr>
            <w:tcW w:w="6945" w:type="dxa"/>
            <w:vAlign w:val="center"/>
          </w:tcPr>
          <w:p w:rsidR="00814D21" w:rsidRPr="001B0964" w:rsidRDefault="00814D21" w:rsidP="00D54F35">
            <w:pPr>
              <w:jc w:val="center"/>
              <w:rPr>
                <w:i/>
                <w:sz w:val="20"/>
                <w:szCs w:val="20"/>
              </w:rPr>
            </w:pPr>
            <w:r w:rsidRPr="001B0964">
              <w:rPr>
                <w:i/>
                <w:sz w:val="20"/>
                <w:szCs w:val="20"/>
              </w:rPr>
              <w:t>Postope</w:t>
            </w:r>
            <w:r>
              <w:rPr>
                <w:i/>
                <w:sz w:val="20"/>
                <w:szCs w:val="20"/>
              </w:rPr>
              <w:t>k</w:t>
            </w:r>
          </w:p>
        </w:tc>
      </w:tr>
      <w:tr w:rsidR="00814D21" w:rsidRPr="001B0964" w:rsidTr="00DA42B4">
        <w:tc>
          <w:tcPr>
            <w:tcW w:w="2235" w:type="dxa"/>
            <w:vAlign w:val="center"/>
          </w:tcPr>
          <w:p w:rsidR="00814D21" w:rsidRPr="001B0964" w:rsidRDefault="00814D21" w:rsidP="00D54F35">
            <w:p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 xml:space="preserve">s sedežem  v </w:t>
            </w:r>
            <w:r>
              <w:rPr>
                <w:sz w:val="20"/>
                <w:szCs w:val="20"/>
              </w:rPr>
              <w:t>EU</w:t>
            </w:r>
          </w:p>
        </w:tc>
        <w:tc>
          <w:tcPr>
            <w:tcW w:w="6945" w:type="dxa"/>
            <w:vAlign w:val="center"/>
          </w:tcPr>
          <w:p w:rsidR="00814D21" w:rsidRPr="001B0964" w:rsidRDefault="00B605AA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uradno obvestilo</w:t>
            </w:r>
            <w:r w:rsidR="00814D21">
              <w:rPr>
                <w:sz w:val="20"/>
                <w:szCs w:val="20"/>
              </w:rPr>
              <w:t xml:space="preserve"> vsaj 30 dni pred uporabo izjeme (4 (2) (a) člen EMIR)</w:t>
            </w:r>
            <w:r w:rsidR="00814D21" w:rsidRPr="001B0964">
              <w:rPr>
                <w:sz w:val="20"/>
                <w:szCs w:val="20"/>
              </w:rPr>
              <w:t>;</w:t>
            </w:r>
          </w:p>
          <w:p w:rsidR="00814D21" w:rsidRDefault="00DA42B4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pristojni organ </w:t>
            </w:r>
            <w:r w:rsidR="00814D21">
              <w:rPr>
                <w:sz w:val="20"/>
                <w:szCs w:val="20"/>
              </w:rPr>
              <w:t>lahko nasprotuje</w:t>
            </w:r>
            <w:r w:rsidR="000A13A0">
              <w:rPr>
                <w:sz w:val="20"/>
                <w:szCs w:val="20"/>
              </w:rPr>
              <w:t xml:space="preserve"> izvzetju</w:t>
            </w:r>
            <w:r w:rsidR="00814D21">
              <w:rPr>
                <w:sz w:val="20"/>
                <w:szCs w:val="20"/>
              </w:rPr>
              <w:t>;</w:t>
            </w:r>
          </w:p>
          <w:p w:rsidR="00814D21" w:rsidRPr="001B0964" w:rsidRDefault="00814D21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</w:t>
            </w:r>
            <w:r w:rsidR="0033465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33465C">
              <w:rPr>
                <w:sz w:val="20"/>
                <w:szCs w:val="20"/>
              </w:rPr>
              <w:t>mediacija</w:t>
            </w:r>
            <w:r>
              <w:rPr>
                <w:sz w:val="20"/>
                <w:szCs w:val="20"/>
              </w:rPr>
              <w:t xml:space="preserve"> ESMA;</w:t>
            </w:r>
          </w:p>
        </w:tc>
      </w:tr>
      <w:tr w:rsidR="00814D21" w:rsidRPr="001B0964" w:rsidTr="00DA42B4">
        <w:tc>
          <w:tcPr>
            <w:tcW w:w="2235" w:type="dxa"/>
            <w:vAlign w:val="center"/>
          </w:tcPr>
          <w:p w:rsidR="00814D21" w:rsidRPr="001B0964" w:rsidRDefault="00814D21" w:rsidP="00D5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sedežem izven EU</w:t>
            </w:r>
          </w:p>
        </w:tc>
        <w:tc>
          <w:tcPr>
            <w:tcW w:w="6945" w:type="dxa"/>
            <w:vAlign w:val="center"/>
          </w:tcPr>
          <w:p w:rsidR="00814D21" w:rsidRPr="001B0964" w:rsidRDefault="00814D21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>vloga za izvzetje</w:t>
            </w:r>
            <w:r>
              <w:rPr>
                <w:sz w:val="20"/>
                <w:szCs w:val="20"/>
              </w:rPr>
              <w:t xml:space="preserve"> (4 (2) (b) člen EMIR)</w:t>
            </w:r>
            <w:r w:rsidRPr="001B0964">
              <w:rPr>
                <w:sz w:val="20"/>
                <w:szCs w:val="20"/>
              </w:rPr>
              <w:t>;</w:t>
            </w:r>
          </w:p>
          <w:p w:rsidR="00814D21" w:rsidRPr="00DB6379" w:rsidRDefault="004C5A33" w:rsidP="00B605AA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izvzetje velja, če je izdano </w:t>
            </w:r>
            <w:r w:rsidRPr="006D16A0">
              <w:rPr>
                <w:b/>
                <w:sz w:val="20"/>
                <w:szCs w:val="20"/>
              </w:rPr>
              <w:t>dovoljenje</w:t>
            </w:r>
            <w:r w:rsidR="00814D21">
              <w:rPr>
                <w:sz w:val="20"/>
                <w:szCs w:val="20"/>
              </w:rPr>
              <w:t xml:space="preserve"> </w:t>
            </w:r>
            <w:r w:rsidR="00DA42B4">
              <w:rPr>
                <w:sz w:val="20"/>
                <w:szCs w:val="20"/>
              </w:rPr>
              <w:t>pristojnega organa</w:t>
            </w:r>
            <w:r>
              <w:rPr>
                <w:sz w:val="20"/>
                <w:szCs w:val="20"/>
              </w:rPr>
              <w:t xml:space="preserve"> v 30 dneh od </w:t>
            </w:r>
            <w:r w:rsidR="00DA42B4">
              <w:rPr>
                <w:sz w:val="20"/>
                <w:szCs w:val="20"/>
              </w:rPr>
              <w:t xml:space="preserve">prejema </w:t>
            </w:r>
            <w:r w:rsidR="00B605AA">
              <w:rPr>
                <w:sz w:val="20"/>
                <w:szCs w:val="20"/>
              </w:rPr>
              <w:t>vloge</w:t>
            </w:r>
            <w:r w:rsidR="00814D21">
              <w:rPr>
                <w:sz w:val="20"/>
                <w:szCs w:val="20"/>
              </w:rPr>
              <w:t>.</w:t>
            </w:r>
          </w:p>
        </w:tc>
      </w:tr>
    </w:tbl>
    <w:p w:rsidR="00D54F35" w:rsidRDefault="00D54F35" w:rsidP="00D54F35">
      <w:pPr>
        <w:rPr>
          <w:b/>
        </w:rPr>
      </w:pPr>
    </w:p>
    <w:p w:rsidR="00D54F35" w:rsidRDefault="00D54F35" w:rsidP="00B605AA">
      <w:pPr>
        <w:jc w:val="both"/>
        <w:rPr>
          <w:b/>
        </w:rPr>
      </w:pPr>
      <w:r>
        <w:rPr>
          <w:b/>
        </w:rPr>
        <w:t>Dokumentacija, ki jo mora predložiti F</w:t>
      </w:r>
      <w:r w:rsidR="002227AF">
        <w:rPr>
          <w:b/>
        </w:rPr>
        <w:t>C</w:t>
      </w:r>
      <w:r>
        <w:rPr>
          <w:b/>
        </w:rPr>
        <w:t xml:space="preserve"> pri oddaji </w:t>
      </w:r>
      <w:r w:rsidR="00B605AA">
        <w:rPr>
          <w:b/>
        </w:rPr>
        <w:t>uradnega obvestila</w:t>
      </w:r>
      <w:r>
        <w:rPr>
          <w:b/>
        </w:rPr>
        <w:t xml:space="preserve"> oziroma vloge</w:t>
      </w:r>
      <w:r w:rsidR="001978CB">
        <w:rPr>
          <w:b/>
        </w:rPr>
        <w:t xml:space="preserve"> za izvzetje</w:t>
      </w:r>
      <w:r w:rsidR="00B605AA">
        <w:rPr>
          <w:b/>
        </w:rPr>
        <w:t xml:space="preserve"> (3. člen EMIR)</w:t>
      </w:r>
      <w:r>
        <w:rPr>
          <w:b/>
        </w:rPr>
        <w:t>:</w:t>
      </w:r>
    </w:p>
    <w:p w:rsidR="00271F67" w:rsidRDefault="00271F67" w:rsidP="00271F67">
      <w:pPr>
        <w:pStyle w:val="Odstavekseznama"/>
        <w:numPr>
          <w:ilvl w:val="0"/>
          <w:numId w:val="3"/>
        </w:numPr>
      </w:pPr>
      <w:r>
        <w:t>ime, sedež in identifikator F</w:t>
      </w:r>
      <w:r w:rsidR="002227AF">
        <w:t>C</w:t>
      </w:r>
      <w:r>
        <w:t xml:space="preserve"> v skladu s 3. členom ITS 1247/2012</w:t>
      </w:r>
      <w:r w:rsidR="000E03F3">
        <w:t xml:space="preserve"> in ITS 2017/105</w:t>
      </w:r>
      <w:r>
        <w:t xml:space="preserve"> (LEI);</w:t>
      </w:r>
    </w:p>
    <w:p w:rsidR="00271F67" w:rsidRDefault="00271F67" w:rsidP="00271F67">
      <w:pPr>
        <w:pStyle w:val="Odstavekseznama"/>
        <w:numPr>
          <w:ilvl w:val="0"/>
          <w:numId w:val="3"/>
        </w:numPr>
      </w:pPr>
      <w:r>
        <w:t>ime, sedež in LEI nasprotne stranke v transakcijah;</w:t>
      </w:r>
    </w:p>
    <w:p w:rsidR="00271F67" w:rsidRDefault="00271F67" w:rsidP="00271F67">
      <w:pPr>
        <w:pStyle w:val="Odstavekseznama"/>
        <w:numPr>
          <w:ilvl w:val="0"/>
          <w:numId w:val="3"/>
        </w:numPr>
      </w:pPr>
      <w:r>
        <w:t xml:space="preserve">navedbo korporacijskega odnosa med nasprotnima strankama ter dokazilo, da sta nasprotni stranki vključeni v isto konsolidirano </w:t>
      </w:r>
      <w:r w:rsidR="00AC15B3">
        <w:t>poročilo skladno z določbami 3. odstavka</w:t>
      </w:r>
      <w:r>
        <w:t xml:space="preserve"> 3. člen</w:t>
      </w:r>
      <w:r w:rsidR="00367C39">
        <w:t>a</w:t>
      </w:r>
      <w:r>
        <w:t xml:space="preserve"> EMIR;</w:t>
      </w:r>
    </w:p>
    <w:p w:rsidR="00271F67" w:rsidRDefault="00271F67" w:rsidP="00855832">
      <w:pPr>
        <w:pStyle w:val="Odstavekseznama"/>
        <w:numPr>
          <w:ilvl w:val="0"/>
          <w:numId w:val="3"/>
        </w:numPr>
        <w:jc w:val="both"/>
      </w:pPr>
      <w:r>
        <w:t>opis</w:t>
      </w:r>
      <w:r w:rsidR="00D14525">
        <w:t>, s katerim</w:t>
      </w:r>
      <w:r>
        <w:t xml:space="preserve"> nasprotni stranki </w:t>
      </w:r>
      <w:r w:rsidR="00D14525">
        <w:t xml:space="preserve">dokazujeta, da imata </w:t>
      </w:r>
      <w:r>
        <w:t>vzpostavljen ustrezen centraliziran</w:t>
      </w:r>
      <w:r w:rsidR="00855832">
        <w:t xml:space="preserve"> sistem upravljanja</w:t>
      </w:r>
      <w:r w:rsidR="00D14525">
        <w:t xml:space="preserve"> tveganj </w:t>
      </w:r>
      <w:r w:rsidR="00D14525" w:rsidRPr="00D14525">
        <w:t>za</w:t>
      </w:r>
      <w:r w:rsidR="00D14525">
        <w:t xml:space="preserve"> njihovo</w:t>
      </w:r>
      <w:r w:rsidR="00D14525" w:rsidRPr="00D14525">
        <w:t xml:space="preserve"> ugotavljanje, merjenje</w:t>
      </w:r>
      <w:r w:rsidR="008F5E3F">
        <w:t>,</w:t>
      </w:r>
      <w:r w:rsidR="00D14525">
        <w:t xml:space="preserve"> </w:t>
      </w:r>
      <w:r w:rsidR="00D14525" w:rsidRPr="00D14525">
        <w:t xml:space="preserve">ocenjevanje, obvladovanje </w:t>
      </w:r>
      <w:r w:rsidR="00D14525">
        <w:t>in</w:t>
      </w:r>
      <w:r w:rsidR="00D14525" w:rsidRPr="00D14525">
        <w:t xml:space="preserve"> spremljanje</w:t>
      </w:r>
      <w:r w:rsidR="00D14525">
        <w:t>, vključno</w:t>
      </w:r>
      <w:r w:rsidR="00D14525" w:rsidRPr="00D14525">
        <w:t xml:space="preserve"> </w:t>
      </w:r>
      <w:r w:rsidR="00D14525">
        <w:t>s primernimi mehanizmi notranjih kontrol, in sicer z navedbo naslednjega:</w:t>
      </w:r>
    </w:p>
    <w:p w:rsidR="00D14525" w:rsidRDefault="00D14525" w:rsidP="00D14525">
      <w:pPr>
        <w:pStyle w:val="Odstavekseznama"/>
        <w:numPr>
          <w:ilvl w:val="1"/>
          <w:numId w:val="3"/>
        </w:numPr>
        <w:jc w:val="both"/>
      </w:pPr>
      <w:r>
        <w:t xml:space="preserve">opis politike upravljanja tveganj in notranjih kontrol s </w:t>
      </w:r>
      <w:r w:rsidR="00AC15B3">
        <w:t xml:space="preserve">poudarkom na </w:t>
      </w:r>
      <w:r>
        <w:t>prikaz</w:t>
      </w:r>
      <w:r w:rsidR="00AC15B3">
        <w:t>u</w:t>
      </w:r>
      <w:r>
        <w:t xml:space="preserve"> njihove centraliziranosti;</w:t>
      </w:r>
    </w:p>
    <w:p w:rsidR="00D14525" w:rsidRDefault="00AC15B3" w:rsidP="00D14525">
      <w:pPr>
        <w:pStyle w:val="Odstavekseznama"/>
        <w:numPr>
          <w:ilvl w:val="1"/>
          <w:numId w:val="3"/>
        </w:numPr>
        <w:jc w:val="both"/>
      </w:pPr>
      <w:r>
        <w:t>opis</w:t>
      </w:r>
      <w:r w:rsidR="00FD5EDC">
        <w:t xml:space="preserve"> odgovornosti za upravljanje tveganj s strani višjega vodstva</w:t>
      </w:r>
      <w:r>
        <w:t>, vključno s pregledom in zagotavljanjem ažurnosti</w:t>
      </w:r>
      <w:r w:rsidR="00FD5EDC">
        <w:t xml:space="preserve"> tehnik merjenja tveganj;</w:t>
      </w:r>
    </w:p>
    <w:p w:rsidR="00FD5EDC" w:rsidRDefault="00AC15B3" w:rsidP="00D14525">
      <w:pPr>
        <w:pStyle w:val="Odstavekseznama"/>
        <w:numPr>
          <w:ilvl w:val="1"/>
          <w:numId w:val="3"/>
        </w:numPr>
        <w:jc w:val="both"/>
      </w:pPr>
      <w:r>
        <w:t>opis</w:t>
      </w:r>
      <w:r w:rsidR="00FD5EDC">
        <w:t xml:space="preserve"> mehanizmov</w:t>
      </w:r>
      <w:r>
        <w:t xml:space="preserve"> </w:t>
      </w:r>
      <w:r w:rsidR="00357C8B">
        <w:t>poročanja</w:t>
      </w:r>
      <w:r w:rsidR="00FD5EDC">
        <w:t xml:space="preserve"> z namenom seznanitve upravljalnega organa, višjega vodstva, </w:t>
      </w:r>
      <w:r w:rsidR="008F5E3F">
        <w:t>poslovnih linij, upravljavcev tveganj in ostalih kontrolnih funkcij z informacijami o merjenju, analizi in spremljanju tveganj;</w:t>
      </w:r>
    </w:p>
    <w:p w:rsidR="008F5E3F" w:rsidRDefault="00AC15B3" w:rsidP="00D14525">
      <w:pPr>
        <w:pStyle w:val="Odstavekseznama"/>
        <w:numPr>
          <w:ilvl w:val="1"/>
          <w:numId w:val="3"/>
        </w:numPr>
        <w:jc w:val="both"/>
      </w:pPr>
      <w:r>
        <w:t>opis zagotavljanja</w:t>
      </w:r>
      <w:r w:rsidR="008F5E3F">
        <w:t xml:space="preserve"> skladnosti in zanesljivosti internih procesov in informacijskih sistemov z namenom ugotavljanja,</w:t>
      </w:r>
      <w:r w:rsidR="000854F5">
        <w:t xml:space="preserve"> ocenjevanja,</w:t>
      </w:r>
      <w:r w:rsidR="008F5E3F">
        <w:t xml:space="preserve"> merjenja in spremljanja</w:t>
      </w:r>
      <w:r w:rsidR="001C2E02">
        <w:t xml:space="preserve"> ter obvladovanja</w:t>
      </w:r>
      <w:r w:rsidR="008F5E3F">
        <w:t xml:space="preserve"> vseh </w:t>
      </w:r>
      <w:r w:rsidR="008F5E3F">
        <w:lastRenderedPageBreak/>
        <w:t>virov relevantnih tveganj na agregatni ravni ter na ravni posamezne osebe, poslovne linije in portfelja;</w:t>
      </w:r>
    </w:p>
    <w:p w:rsidR="008F5E3F" w:rsidRPr="00271F67" w:rsidRDefault="00AC15B3" w:rsidP="00D14525">
      <w:pPr>
        <w:pStyle w:val="Odstavekseznama"/>
        <w:numPr>
          <w:ilvl w:val="1"/>
          <w:numId w:val="3"/>
        </w:numPr>
        <w:jc w:val="both"/>
      </w:pPr>
      <w:r>
        <w:t>opis načina</w:t>
      </w:r>
      <w:r w:rsidR="008F5E3F">
        <w:t xml:space="preserve"> poročanja ključnih informacij v zvezi s tveganji centralni funkciji upravljanja s tveganji</w:t>
      </w:r>
      <w:r>
        <w:t xml:space="preserve"> z namenom</w:t>
      </w:r>
      <w:r w:rsidR="008F5E3F">
        <w:t xml:space="preserve"> ustrezn</w:t>
      </w:r>
      <w:r>
        <w:t>ega</w:t>
      </w:r>
      <w:r w:rsidR="008F5E3F">
        <w:t xml:space="preserve"> centraliziran</w:t>
      </w:r>
      <w:r>
        <w:t>ega</w:t>
      </w:r>
      <w:r w:rsidR="008F5E3F">
        <w:t xml:space="preserve"> </w:t>
      </w:r>
      <w:r w:rsidR="001C2E02">
        <w:t xml:space="preserve">ugotavljanja, </w:t>
      </w:r>
      <w:r w:rsidR="008F5E3F">
        <w:t>ocenjevanj</w:t>
      </w:r>
      <w:r>
        <w:t>a</w:t>
      </w:r>
      <w:r w:rsidR="008F5E3F">
        <w:t>, merjenj</w:t>
      </w:r>
      <w:r>
        <w:t>a</w:t>
      </w:r>
      <w:r w:rsidR="008F5E3F">
        <w:t xml:space="preserve"> </w:t>
      </w:r>
      <w:r w:rsidR="00357C8B">
        <w:t>in</w:t>
      </w:r>
      <w:r w:rsidR="008F5E3F">
        <w:t xml:space="preserve"> spremljanj</w:t>
      </w:r>
      <w:r>
        <w:t>a</w:t>
      </w:r>
      <w:r w:rsidR="008F5E3F">
        <w:t xml:space="preserve"> </w:t>
      </w:r>
      <w:r w:rsidR="00357C8B">
        <w:t>ter</w:t>
      </w:r>
      <w:r w:rsidR="008F5E3F">
        <w:t xml:space="preserve"> obvladovanj</w:t>
      </w:r>
      <w:r>
        <w:t>a</w:t>
      </w:r>
      <w:r w:rsidR="008F5E3F">
        <w:t xml:space="preserve"> tveganj v zvez</w:t>
      </w:r>
      <w:r w:rsidR="00B53DE4">
        <w:t>i z relevantnimi skupinami oseb;</w:t>
      </w:r>
    </w:p>
    <w:p w:rsidR="00AA5662" w:rsidRDefault="00B53DE4" w:rsidP="00B53DE4">
      <w:pPr>
        <w:pStyle w:val="Odstavekseznama"/>
        <w:numPr>
          <w:ilvl w:val="0"/>
          <w:numId w:val="3"/>
        </w:numPr>
      </w:pPr>
      <w:r>
        <w:t xml:space="preserve">dokazilo o plačilu takse. </w:t>
      </w:r>
    </w:p>
    <w:p w:rsidR="00B605AA" w:rsidRDefault="00B605AA" w:rsidP="00B605AA">
      <w:pPr>
        <w:pStyle w:val="Odstavekseznama"/>
        <w:ind w:left="360"/>
      </w:pPr>
    </w:p>
    <w:p w:rsidR="00C74343" w:rsidRDefault="00C74343">
      <w:pPr>
        <w:spacing w:after="200" w:line="276" w:lineRule="auto"/>
        <w:rPr>
          <w:b/>
          <w:smallCaps/>
        </w:rPr>
      </w:pPr>
      <w:r>
        <w:rPr>
          <w:b/>
          <w:smallCaps/>
        </w:rPr>
        <w:br w:type="page"/>
      </w:r>
    </w:p>
    <w:p w:rsidR="006759AD" w:rsidRPr="00CE3E99" w:rsidRDefault="006759AD" w:rsidP="00D54F35">
      <w:pPr>
        <w:rPr>
          <w:b/>
        </w:rPr>
      </w:pPr>
      <w:r w:rsidRPr="005F3728">
        <w:rPr>
          <w:b/>
          <w:smallCaps/>
        </w:rPr>
        <w:lastRenderedPageBreak/>
        <w:t xml:space="preserve">Transakcije znotraj skupine kot </w:t>
      </w:r>
      <w:r w:rsidRPr="005F3728">
        <w:rPr>
          <w:b/>
          <w:smallCaps/>
          <w:u w:val="single"/>
        </w:rPr>
        <w:t xml:space="preserve">izjeme </w:t>
      </w:r>
      <w:r w:rsidR="0021271B" w:rsidRPr="005F3728">
        <w:rPr>
          <w:b/>
          <w:smallCaps/>
          <w:u w:val="single"/>
        </w:rPr>
        <w:t xml:space="preserve">glede </w:t>
      </w:r>
      <w:r w:rsidRPr="005F3728">
        <w:rPr>
          <w:b/>
          <w:smallCaps/>
          <w:u w:val="single"/>
        </w:rPr>
        <w:t>izmenjave zavarovanj</w:t>
      </w:r>
      <w:r w:rsidR="00AE118B">
        <w:rPr>
          <w:b/>
        </w:rPr>
        <w:t xml:space="preserve"> </w:t>
      </w:r>
      <w:r w:rsidR="00AE118B" w:rsidRPr="00AE118B">
        <w:t>(11. člen EMIR)</w:t>
      </w:r>
    </w:p>
    <w:p w:rsidR="00B074B3" w:rsidRDefault="00B074B3" w:rsidP="00D54F35">
      <w:pPr>
        <w:jc w:val="both"/>
        <w:rPr>
          <w:sz w:val="20"/>
          <w:szCs w:val="20"/>
        </w:rPr>
      </w:pPr>
      <w:r>
        <w:t xml:space="preserve">Upravičenost do uveljavljanja izjeme </w:t>
      </w:r>
      <w:r w:rsidR="002C2467">
        <w:t>ob izpolnjevanju pogojev (11 (5) in 11 (6) člen EMIR) je prikazana</w:t>
      </w:r>
      <w:r>
        <w:t xml:space="preserve"> </w:t>
      </w:r>
      <w:r w:rsidR="002C2467">
        <w:t>na</w:t>
      </w:r>
      <w:r>
        <w:t xml:space="preserve"> slik</w:t>
      </w:r>
      <w:r w:rsidR="002C2467">
        <w:t>i</w:t>
      </w:r>
      <w:r>
        <w:t xml:space="preserve">, postopek odločanja o izjemah </w:t>
      </w:r>
      <w:r w:rsidR="00E5484C">
        <w:t>(</w:t>
      </w:r>
      <w:r>
        <w:t>ki se razlikuje glede na vrsto in sedež nasprotnih strank</w:t>
      </w:r>
      <w:r w:rsidR="00E5484C">
        <w:t>)</w:t>
      </w:r>
      <w:r>
        <w:t xml:space="preserve"> pa je </w:t>
      </w:r>
      <w:r w:rsidR="00A17C3C">
        <w:t>povzet</w:t>
      </w:r>
      <w:r>
        <w:t xml:space="preserve"> v </w:t>
      </w:r>
      <w:r w:rsidR="00D54F35">
        <w:t xml:space="preserve">spodnji </w:t>
      </w:r>
      <w:r>
        <w:t>tabeli</w:t>
      </w:r>
      <w:r w:rsidR="00E5484C">
        <w:t>.</w:t>
      </w:r>
      <w:r>
        <w:t xml:space="preserve"> </w:t>
      </w:r>
    </w:p>
    <w:p w:rsidR="0021271B" w:rsidRDefault="0021271B" w:rsidP="00D54F35">
      <w:pPr>
        <w:jc w:val="both"/>
      </w:pPr>
    </w:p>
    <w:p w:rsidR="00CE3E99" w:rsidRDefault="00CC2D1D" w:rsidP="00D54F35">
      <w:pPr>
        <w:jc w:val="both"/>
      </w:pPr>
      <w:r>
        <w:rPr>
          <w:noProof/>
          <w:lang w:eastAsia="sl-SI"/>
        </w:rPr>
        <w:pict>
          <v:shape id="_x0000_s1047" type="#_x0000_t202" style="position:absolute;left:0;text-align:left;margin-left:136.9pt;margin-top:3.8pt;width:23.75pt;height:8.4pt;z-index:251678720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6" type="#_x0000_t202" style="position:absolute;left:0;text-align:left;margin-left:164.4pt;margin-top:8.4pt;width:123.7pt;height:21.65pt;z-index:251658240">
            <v:textbox inset=",.57mm,,.57mm">
              <w:txbxContent>
                <w:p w:rsidR="007446E7" w:rsidRPr="007446E7" w:rsidRDefault="007446E7" w:rsidP="00822ED8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>Ali je F</w:t>
                  </w:r>
                  <w:r w:rsidR="002227AF">
                    <w:rPr>
                      <w:sz w:val="14"/>
                      <w:szCs w:val="14"/>
                    </w:rPr>
                    <w:t>C</w:t>
                  </w:r>
                  <w:r w:rsidRPr="007446E7">
                    <w:rPr>
                      <w:sz w:val="14"/>
                      <w:szCs w:val="14"/>
                    </w:rPr>
                    <w:t xml:space="preserve"> upravičena do izjeme glede kliringa</w:t>
                  </w:r>
                  <w:r w:rsidR="00822ED8">
                    <w:rPr>
                      <w:sz w:val="14"/>
                      <w:szCs w:val="14"/>
                    </w:rPr>
                    <w:t>?</w:t>
                  </w:r>
                </w:p>
              </w:txbxContent>
            </v:textbox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39" type="#_x0000_t32" style="position:absolute;left:0;text-align:left;margin-left:34.4pt;margin-top:3.75pt;width:130pt;height:0;flip:x;z-index:251671552" o:connectortype="straight"/>
        </w:pict>
      </w:r>
      <w:r>
        <w:rPr>
          <w:noProof/>
          <w:lang w:eastAsia="sl-SI"/>
        </w:rPr>
        <w:pict>
          <v:shape id="_x0000_s1035" type="#_x0000_t32" style="position:absolute;left:0;text-align:left;margin-left:34.4pt;margin-top:54.45pt;width:130pt;height:0;flip:x;z-index:251667456" o:connectortype="straight"/>
        </w:pict>
      </w:r>
      <w:r>
        <w:rPr>
          <w:noProof/>
          <w:lang w:eastAsia="sl-SI"/>
        </w:rPr>
        <w:pict>
          <v:shape id="_x0000_s1027" type="#_x0000_t202" style="position:absolute;left:0;text-align:left;margin-left:-4.7pt;margin-top:84.5pt;width:87.35pt;height:21.65pt;z-index:251659264">
            <v:textbox inset=",.57mm,,.57mm">
              <w:txbxContent>
                <w:p w:rsidR="007446E7" w:rsidRPr="006C3BAA" w:rsidRDefault="00822ED8" w:rsidP="00822ED8">
                  <w:pPr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izvzetje </w:t>
                  </w:r>
                  <w:r w:rsidR="00C92473">
                    <w:rPr>
                      <w:color w:val="FF0000"/>
                      <w:sz w:val="14"/>
                      <w:szCs w:val="14"/>
                    </w:rPr>
                    <w:t>iz</w:t>
                  </w: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 izmenjave zavarovanj ni možno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3" type="#_x0000_t32" style="position:absolute;left:0;text-align:left;margin-left:223.1pt;margin-top:79.95pt;width:.35pt;height:17.15pt;flip:x;z-index:25166540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7" type="#_x0000_t32" style="position:absolute;left:0;text-align:left;margin-left:34.4pt;margin-top:152.65pt;width:130pt;height:.35pt;flip:x y;z-index:251669504" o:connectortype="straight"/>
        </w:pict>
      </w:r>
      <w:r>
        <w:rPr>
          <w:noProof/>
          <w:lang w:eastAsia="sl-SI"/>
        </w:rPr>
        <w:pict>
          <v:shape id="_x0000_s1040" type="#_x0000_t32" style="position:absolute;left:0;text-align:left;margin-left:34.4pt;margin-top:3.75pt;width:0;height:50.7pt;z-index:251672576" o:connectortype="straight"/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46" type="#_x0000_t202" style="position:absolute;left:0;text-align:left;margin-left:227.9pt;margin-top:6.85pt;width:23.75pt;height:8.4pt;z-index:251677696" stroked="f">
            <v:textbox inset=",.57mm,,.57mm">
              <w:txbxContent>
                <w:p w:rsidR="00D20A11" w:rsidRPr="00D20A11" w:rsidRDefault="00D20A11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2" type="#_x0000_t32" style="position:absolute;left:0;text-align:left;margin-left:223.45pt;margin-top:4.75pt;width:.35pt;height:17.15pt;flip:x;z-index:251664384" o:connectortype="straight">
            <v:stroke endarrow="block"/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31" type="#_x0000_t202" style="position:absolute;left:0;text-align:left;margin-left:367.3pt;margin-top:9.25pt;width:87.35pt;height:21.65pt;z-index:251663360">
            <v:textbox inset=",.57mm,,.57mm">
              <w:txbxContent>
                <w:p w:rsidR="00822ED8" w:rsidRPr="006C3BAA" w:rsidRDefault="00822ED8" w:rsidP="00822ED8">
                  <w:pPr>
                    <w:jc w:val="center"/>
                    <w:rPr>
                      <w:color w:val="00B050"/>
                      <w:sz w:val="14"/>
                      <w:szCs w:val="14"/>
                    </w:rPr>
                  </w:pP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izvzetje </w:t>
                  </w:r>
                  <w:r w:rsidR="00C92473">
                    <w:rPr>
                      <w:color w:val="00B050"/>
                      <w:sz w:val="14"/>
                      <w:szCs w:val="14"/>
                    </w:rPr>
                    <w:t>iz</w:t>
                  </w: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 izmenjave zavarovanj je možno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left:0;text-align:left;margin-left:164.4pt;margin-top:9.25pt;width:123.7pt;height:43.65pt;z-index:251660288">
            <v:textbox inset=",.57mm,,.57mm">
              <w:txbxContent>
                <w:p w:rsidR="00822ED8" w:rsidRPr="00822ED8" w:rsidRDefault="00822ED8" w:rsidP="00822ED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obstajajo trenutne ali predvidene dejanske ali pravne ovire za takojšen prenos lastnih sredstev ali odplačilo obveznosti med nasprotnimi strankami?</w:t>
                  </w:r>
                </w:p>
              </w:txbxContent>
            </v:textbox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48" type="#_x0000_t202" style="position:absolute;left:0;text-align:left;margin-left:136.9pt;margin-top:5.3pt;width:23.75pt;height:8.4pt;z-index:251679744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43" type="#_x0000_t32" style="position:absolute;left:0;text-align:left;margin-left:418.1pt;margin-top:5.6pt;width:0;height:98.55pt;flip:y;z-index:25167564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6" type="#_x0000_t32" style="position:absolute;left:0;text-align:left;margin-left:34.4pt;margin-top:3.85pt;width:0;height:27.6pt;z-index:251668480" o:connectortype="straight">
            <v:stroke endarrow="block"/>
          </v:shape>
        </w:pict>
      </w:r>
    </w:p>
    <w:p w:rsidR="007446E7" w:rsidRDefault="007446E7" w:rsidP="00D54F35">
      <w:pPr>
        <w:jc w:val="both"/>
      </w:pP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49" type="#_x0000_t202" style="position:absolute;left:0;text-align:left;margin-left:227.9pt;margin-top:6.15pt;width:23.75pt;height:8.4pt;z-index:251680768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50" type="#_x0000_t202" style="position:absolute;left:0;text-align:left;margin-left:291.15pt;margin-top:8.55pt;width:23.75pt;height:8.4pt;z-index:251681792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left:0;text-align:left;margin-left:164.4pt;margin-top:8.55pt;width:123.7pt;height:22.25pt;z-index:251661312">
            <v:textbox inset=",.57mm,,.57mm">
              <w:txbxContent>
                <w:p w:rsidR="00822ED8" w:rsidRPr="00822ED8" w:rsidRDefault="00822ED8" w:rsidP="00822ED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imata obe nasprotni stranki sedež v isti državi članici?</w:t>
                  </w:r>
                </w:p>
              </w:txbxContent>
            </v:textbox>
          </v:shape>
        </w:pict>
      </w:r>
    </w:p>
    <w:p w:rsidR="007446E7" w:rsidRDefault="00CC2D1D" w:rsidP="00D54F35">
      <w:pPr>
        <w:jc w:val="both"/>
      </w:pPr>
      <w:r>
        <w:rPr>
          <w:noProof/>
          <w:lang w:eastAsia="sl-SI"/>
        </w:rPr>
        <w:pict>
          <v:shape id="_x0000_s1044" type="#_x0000_t32" style="position:absolute;left:0;text-align:left;margin-left:288.1pt;margin-top:6.7pt;width:130pt;height:0;z-index:251676672" o:connectortype="straight"/>
        </w:pict>
      </w:r>
      <w:r>
        <w:rPr>
          <w:noProof/>
          <w:lang w:eastAsia="sl-SI"/>
        </w:rPr>
        <w:pict>
          <v:shape id="_x0000_s1038" type="#_x0000_t32" style="position:absolute;left:0;text-align:left;margin-left:34.4pt;margin-top:6.7pt;width:0;height:45.1pt;flip:y;z-index:251670528" o:connectortype="straight">
            <v:stroke endarrow="block"/>
          </v:shape>
        </w:pict>
      </w:r>
    </w:p>
    <w:p w:rsidR="00822ED8" w:rsidRDefault="00CC2D1D" w:rsidP="00D54F35">
      <w:pPr>
        <w:jc w:val="both"/>
      </w:pPr>
      <w:r>
        <w:rPr>
          <w:noProof/>
          <w:lang w:eastAsia="sl-SI"/>
        </w:rPr>
        <w:pict>
          <v:shape id="_x0000_s1051" type="#_x0000_t202" style="position:absolute;left:0;text-align:left;margin-left:227.9pt;margin-top:8.75pt;width:23.75pt;height:8.4pt;z-index:251682816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4" type="#_x0000_t32" style="position:absolute;left:0;text-align:left;margin-left:222.75pt;margin-top:5.5pt;width:.35pt;height:17.15pt;flip:x;z-index:251666432" o:connectortype="straight">
            <v:stroke endarrow="block"/>
          </v:shape>
        </w:pict>
      </w:r>
    </w:p>
    <w:p w:rsidR="00822ED8" w:rsidRDefault="00CC2D1D" w:rsidP="00D54F35">
      <w:pPr>
        <w:jc w:val="both"/>
      </w:pPr>
      <w:r>
        <w:rPr>
          <w:noProof/>
          <w:lang w:eastAsia="sl-SI"/>
        </w:rPr>
        <w:pict>
          <v:shape id="_x0000_s1030" type="#_x0000_t202" style="position:absolute;left:0;text-align:left;margin-left:164.4pt;margin-top:10pt;width:123.7pt;height:35.5pt;z-index:251662336">
            <v:textbox inset=",.57mm,,.57mm">
              <w:txbxContent>
                <w:p w:rsidR="00822ED8" w:rsidRPr="00822ED8" w:rsidRDefault="00822ED8" w:rsidP="00822ED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so postopki upravljanja tveganja nasprotnih strank zanesljivi, trdni in skladni s kompleksnostjo transakcij z IFI?</w:t>
                  </w:r>
                </w:p>
              </w:txbxContent>
            </v:textbox>
          </v:shape>
        </w:pict>
      </w:r>
    </w:p>
    <w:p w:rsidR="00822ED8" w:rsidRDefault="00CC2D1D" w:rsidP="00D54F35">
      <w:pPr>
        <w:jc w:val="both"/>
      </w:pPr>
      <w:r>
        <w:rPr>
          <w:noProof/>
          <w:lang w:eastAsia="sl-SI"/>
        </w:rPr>
        <w:pict>
          <v:shape id="_x0000_s1053" type="#_x0000_t202" style="position:absolute;left:0;text-align:left;margin-left:291.15pt;margin-top:5.15pt;width:23.75pt;height:8.4pt;z-index:251684864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52" type="#_x0000_t202" style="position:absolute;left:0;text-align:left;margin-left:136.9pt;margin-top:.95pt;width:23.75pt;height:8.4pt;z-index:251683840" stroked="f">
            <v:textbox inset=",.57mm,,.57mm">
              <w:txbxContent>
                <w:p w:rsidR="00D20A11" w:rsidRPr="00D20A11" w:rsidRDefault="00D20A11" w:rsidP="00D20A11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822ED8" w:rsidRDefault="00CC2D1D" w:rsidP="00D54F35">
      <w:pPr>
        <w:jc w:val="both"/>
      </w:pPr>
      <w:r>
        <w:rPr>
          <w:noProof/>
          <w:lang w:eastAsia="sl-SI"/>
        </w:rPr>
        <w:pict>
          <v:shape id="_x0000_s1042" type="#_x0000_t32" style="position:absolute;left:0;text-align:left;margin-left:288.1pt;margin-top:3pt;width:130pt;height:.35pt;flip:x y;z-index:251674624" o:connectortype="straight"/>
        </w:pict>
      </w:r>
    </w:p>
    <w:p w:rsidR="00822ED8" w:rsidRDefault="00822ED8" w:rsidP="00D54F35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E3E99" w:rsidRPr="001B0964" w:rsidTr="00582CB4">
        <w:tc>
          <w:tcPr>
            <w:tcW w:w="2376" w:type="dxa"/>
            <w:vAlign w:val="center"/>
          </w:tcPr>
          <w:p w:rsidR="00CE3E99" w:rsidRPr="001B0964" w:rsidRDefault="00CE3E99" w:rsidP="00D54F35">
            <w:pPr>
              <w:jc w:val="center"/>
              <w:rPr>
                <w:i/>
                <w:sz w:val="20"/>
                <w:szCs w:val="20"/>
              </w:rPr>
            </w:pPr>
            <w:r w:rsidRPr="001B0964">
              <w:rPr>
                <w:i/>
                <w:sz w:val="20"/>
                <w:szCs w:val="20"/>
              </w:rPr>
              <w:t>Nasprotna stranka</w:t>
            </w:r>
            <w:r w:rsidR="00582CB4">
              <w:rPr>
                <w:i/>
                <w:sz w:val="20"/>
                <w:szCs w:val="20"/>
              </w:rPr>
              <w:t xml:space="preserve"> v poslu</w:t>
            </w:r>
          </w:p>
        </w:tc>
        <w:tc>
          <w:tcPr>
            <w:tcW w:w="6804" w:type="dxa"/>
            <w:vAlign w:val="center"/>
          </w:tcPr>
          <w:p w:rsidR="00CE3E99" w:rsidRPr="001B0964" w:rsidRDefault="00CE3E99" w:rsidP="00D54F35">
            <w:pPr>
              <w:jc w:val="center"/>
              <w:rPr>
                <w:i/>
                <w:sz w:val="20"/>
                <w:szCs w:val="20"/>
              </w:rPr>
            </w:pPr>
            <w:r w:rsidRPr="001B0964">
              <w:rPr>
                <w:i/>
                <w:sz w:val="20"/>
                <w:szCs w:val="20"/>
              </w:rPr>
              <w:t>Postopek</w:t>
            </w:r>
          </w:p>
        </w:tc>
      </w:tr>
      <w:tr w:rsidR="00CE3E99" w:rsidRPr="001B0964" w:rsidTr="00582CB4">
        <w:tc>
          <w:tcPr>
            <w:tcW w:w="2376" w:type="dxa"/>
            <w:vAlign w:val="center"/>
          </w:tcPr>
          <w:p w:rsidR="00CE3E99" w:rsidRPr="001B0964" w:rsidRDefault="00CE3E99" w:rsidP="00D54F35">
            <w:p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>s sedežem v isti državi članici</w:t>
            </w:r>
          </w:p>
        </w:tc>
        <w:tc>
          <w:tcPr>
            <w:tcW w:w="6804" w:type="dxa"/>
            <w:vAlign w:val="center"/>
          </w:tcPr>
          <w:p w:rsidR="00CE3E99" w:rsidRPr="00894099" w:rsidRDefault="0034399B" w:rsidP="00D54F35">
            <w:pPr>
              <w:pStyle w:val="Odstavekseznam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uradno obvestilo</w:t>
            </w:r>
            <w:r w:rsidR="00CE3E99" w:rsidRPr="001B0964">
              <w:rPr>
                <w:sz w:val="20"/>
                <w:szCs w:val="20"/>
              </w:rPr>
              <w:t xml:space="preserve"> oziroma dovoljenje </w:t>
            </w:r>
            <w:r w:rsidR="00CE3E99" w:rsidRPr="006D16A0">
              <w:rPr>
                <w:b/>
                <w:sz w:val="20"/>
                <w:szCs w:val="20"/>
              </w:rPr>
              <w:t>ni potrebno</w:t>
            </w:r>
            <w:r w:rsidR="00CE3E99" w:rsidRPr="001B0964">
              <w:rPr>
                <w:sz w:val="20"/>
                <w:szCs w:val="20"/>
              </w:rPr>
              <w:t xml:space="preserve"> (11 (5) </w:t>
            </w:r>
            <w:r w:rsidR="008C624C">
              <w:rPr>
                <w:sz w:val="20"/>
                <w:szCs w:val="20"/>
              </w:rPr>
              <w:t xml:space="preserve">člen </w:t>
            </w:r>
            <w:r w:rsidR="00CE3E99" w:rsidRPr="001B0964">
              <w:rPr>
                <w:sz w:val="20"/>
                <w:szCs w:val="20"/>
              </w:rPr>
              <w:t xml:space="preserve">EMIR); </w:t>
            </w:r>
          </w:p>
        </w:tc>
      </w:tr>
      <w:tr w:rsidR="00CE3E99" w:rsidRPr="001B0964" w:rsidTr="00582CB4">
        <w:tc>
          <w:tcPr>
            <w:tcW w:w="2376" w:type="dxa"/>
            <w:vAlign w:val="center"/>
          </w:tcPr>
          <w:p w:rsidR="00CE3E99" w:rsidRPr="001B0964" w:rsidRDefault="001B0964" w:rsidP="00D54F35">
            <w:p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 xml:space="preserve">s sedežem </w:t>
            </w:r>
            <w:r w:rsidR="007C0136" w:rsidRPr="001B0964">
              <w:rPr>
                <w:sz w:val="20"/>
                <w:szCs w:val="20"/>
              </w:rPr>
              <w:t xml:space="preserve"> v drugi državi članici</w:t>
            </w:r>
          </w:p>
        </w:tc>
        <w:tc>
          <w:tcPr>
            <w:tcW w:w="6804" w:type="dxa"/>
            <w:vAlign w:val="center"/>
          </w:tcPr>
          <w:p w:rsidR="00CE3E99" w:rsidRPr="001B0964" w:rsidRDefault="007C0136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>vloga za</w:t>
            </w:r>
            <w:r w:rsidR="00F145EF">
              <w:rPr>
                <w:sz w:val="20"/>
                <w:szCs w:val="20"/>
              </w:rPr>
              <w:t xml:space="preserve"> celotno oziroma delno</w:t>
            </w:r>
            <w:r w:rsidRPr="001B0964">
              <w:rPr>
                <w:sz w:val="20"/>
                <w:szCs w:val="20"/>
              </w:rPr>
              <w:t xml:space="preserve"> izvzetje</w:t>
            </w:r>
            <w:r w:rsidR="008C624C">
              <w:rPr>
                <w:sz w:val="20"/>
                <w:szCs w:val="20"/>
              </w:rPr>
              <w:t xml:space="preserve"> (11 (6) člen EMIR in 11 (10) člen EMIR, 18.</w:t>
            </w:r>
            <w:r w:rsidR="00DB6379">
              <w:rPr>
                <w:sz w:val="20"/>
                <w:szCs w:val="20"/>
              </w:rPr>
              <w:t xml:space="preserve"> člen RTS 149/2013</w:t>
            </w:r>
            <w:r w:rsidR="008C624C">
              <w:rPr>
                <w:sz w:val="20"/>
                <w:szCs w:val="20"/>
              </w:rPr>
              <w:t>)</w:t>
            </w:r>
            <w:r w:rsidRPr="001B0964">
              <w:rPr>
                <w:sz w:val="20"/>
                <w:szCs w:val="20"/>
              </w:rPr>
              <w:t>;</w:t>
            </w:r>
          </w:p>
          <w:p w:rsidR="00894099" w:rsidRDefault="001B0964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16A0">
              <w:rPr>
                <w:b/>
                <w:sz w:val="20"/>
                <w:szCs w:val="20"/>
              </w:rPr>
              <w:t>odločba</w:t>
            </w:r>
            <w:r w:rsidR="00F25A6C">
              <w:rPr>
                <w:sz w:val="20"/>
                <w:szCs w:val="20"/>
              </w:rPr>
              <w:t>*</w:t>
            </w:r>
            <w:r w:rsidR="00894099">
              <w:rPr>
                <w:sz w:val="20"/>
                <w:szCs w:val="20"/>
              </w:rPr>
              <w:t xml:space="preserve"> </w:t>
            </w:r>
            <w:r w:rsidR="003861A7">
              <w:rPr>
                <w:sz w:val="20"/>
                <w:szCs w:val="20"/>
              </w:rPr>
              <w:t>pristojnega organa</w:t>
            </w:r>
            <w:r w:rsidR="00894099">
              <w:rPr>
                <w:sz w:val="20"/>
                <w:szCs w:val="20"/>
              </w:rPr>
              <w:t xml:space="preserve"> F</w:t>
            </w:r>
            <w:r w:rsidR="002227AF">
              <w:rPr>
                <w:sz w:val="20"/>
                <w:szCs w:val="20"/>
              </w:rPr>
              <w:t>C</w:t>
            </w:r>
            <w:r w:rsidR="00C808B2">
              <w:rPr>
                <w:sz w:val="20"/>
                <w:szCs w:val="20"/>
              </w:rPr>
              <w:t xml:space="preserve"> v roku 3 mesecev</w:t>
            </w:r>
            <w:r w:rsidR="00F31DCA">
              <w:rPr>
                <w:sz w:val="20"/>
                <w:szCs w:val="20"/>
              </w:rPr>
              <w:t xml:space="preserve"> (od prejema popolne vloge)</w:t>
            </w:r>
            <w:r w:rsidR="00894099">
              <w:rPr>
                <w:sz w:val="20"/>
                <w:szCs w:val="20"/>
              </w:rPr>
              <w:t>;</w:t>
            </w:r>
          </w:p>
          <w:p w:rsidR="007C0136" w:rsidRDefault="003861A7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pristojni organ</w:t>
            </w:r>
            <w:r w:rsidR="00894099">
              <w:rPr>
                <w:sz w:val="20"/>
                <w:szCs w:val="20"/>
              </w:rPr>
              <w:t xml:space="preserve"> F</w:t>
            </w:r>
            <w:r w:rsidR="002227AF">
              <w:rPr>
                <w:sz w:val="20"/>
                <w:szCs w:val="20"/>
              </w:rPr>
              <w:t>C</w:t>
            </w:r>
            <w:r w:rsidR="00894099">
              <w:rPr>
                <w:sz w:val="20"/>
                <w:szCs w:val="20"/>
              </w:rPr>
              <w:t xml:space="preserve"> mora o odločitvi obvestiti </w:t>
            </w:r>
            <w:r w:rsidR="00DB1523">
              <w:rPr>
                <w:sz w:val="20"/>
                <w:szCs w:val="20"/>
              </w:rPr>
              <w:t>pristojni organ</w:t>
            </w:r>
            <w:r w:rsidR="00894099">
              <w:rPr>
                <w:sz w:val="20"/>
                <w:szCs w:val="20"/>
              </w:rPr>
              <w:t xml:space="preserve"> N</w:t>
            </w:r>
            <w:r w:rsidR="002227AF">
              <w:rPr>
                <w:sz w:val="20"/>
                <w:szCs w:val="20"/>
              </w:rPr>
              <w:t>FC</w:t>
            </w:r>
            <w:r w:rsidR="00894099">
              <w:rPr>
                <w:sz w:val="20"/>
                <w:szCs w:val="20"/>
              </w:rPr>
              <w:t>+</w:t>
            </w:r>
            <w:r w:rsidR="00DB1523">
              <w:rPr>
                <w:sz w:val="20"/>
                <w:szCs w:val="20"/>
              </w:rPr>
              <w:t xml:space="preserve"> v roku 2 mesecev</w:t>
            </w:r>
            <w:r w:rsidR="00894099">
              <w:rPr>
                <w:sz w:val="20"/>
                <w:szCs w:val="20"/>
              </w:rPr>
              <w:t>;</w:t>
            </w:r>
          </w:p>
          <w:p w:rsidR="00310198" w:rsidRPr="001B0964" w:rsidRDefault="00B308E6" w:rsidP="00DA1E67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možna mediacija ESMA v primeru </w:t>
            </w:r>
            <w:r w:rsidR="00DA1E67">
              <w:rPr>
                <w:sz w:val="20"/>
                <w:szCs w:val="20"/>
              </w:rPr>
              <w:t>nesoglasja med pristojnimi organi</w:t>
            </w:r>
            <w:r w:rsidR="00310198">
              <w:rPr>
                <w:sz w:val="20"/>
                <w:szCs w:val="20"/>
              </w:rPr>
              <w:t>;</w:t>
            </w:r>
          </w:p>
        </w:tc>
      </w:tr>
      <w:tr w:rsidR="00CE3E99" w:rsidRPr="001B0964" w:rsidTr="00582CB4">
        <w:tc>
          <w:tcPr>
            <w:tcW w:w="2376" w:type="dxa"/>
            <w:vAlign w:val="center"/>
          </w:tcPr>
          <w:p w:rsidR="00CE3E99" w:rsidRPr="001B0964" w:rsidRDefault="001915C6" w:rsidP="00D54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sedežem </w:t>
            </w:r>
            <w:r w:rsidR="00DB6379">
              <w:rPr>
                <w:sz w:val="20"/>
                <w:szCs w:val="20"/>
              </w:rPr>
              <w:t>izven EU</w:t>
            </w:r>
          </w:p>
        </w:tc>
        <w:tc>
          <w:tcPr>
            <w:tcW w:w="6804" w:type="dxa"/>
            <w:vAlign w:val="center"/>
          </w:tcPr>
          <w:p w:rsidR="00DB6379" w:rsidRPr="001B0964" w:rsidRDefault="00DB6379" w:rsidP="00D54F35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0964">
              <w:rPr>
                <w:sz w:val="20"/>
                <w:szCs w:val="20"/>
              </w:rPr>
              <w:t xml:space="preserve">vloga za </w:t>
            </w:r>
            <w:r w:rsidR="00CE6876">
              <w:rPr>
                <w:sz w:val="20"/>
                <w:szCs w:val="20"/>
              </w:rPr>
              <w:t xml:space="preserve">celotno oziroma delno </w:t>
            </w:r>
            <w:r w:rsidRPr="001B0964">
              <w:rPr>
                <w:sz w:val="20"/>
                <w:szCs w:val="20"/>
              </w:rPr>
              <w:t>izvzetje</w:t>
            </w:r>
            <w:r>
              <w:rPr>
                <w:sz w:val="20"/>
                <w:szCs w:val="20"/>
              </w:rPr>
              <w:t xml:space="preserve"> (11 (8) člen EMIR, 18. člen RTS 149/2013)</w:t>
            </w:r>
            <w:r w:rsidRPr="001B0964">
              <w:rPr>
                <w:sz w:val="20"/>
                <w:szCs w:val="20"/>
              </w:rPr>
              <w:t>;</w:t>
            </w:r>
          </w:p>
          <w:p w:rsidR="003861A7" w:rsidRPr="00DB6379" w:rsidRDefault="00DB6379" w:rsidP="002227AF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16A0">
              <w:rPr>
                <w:b/>
                <w:sz w:val="20"/>
                <w:szCs w:val="20"/>
              </w:rPr>
              <w:t>odločba</w:t>
            </w:r>
            <w:r w:rsidR="00E5484C">
              <w:rPr>
                <w:sz w:val="20"/>
                <w:szCs w:val="20"/>
              </w:rPr>
              <w:t xml:space="preserve"> </w:t>
            </w:r>
            <w:r w:rsidR="00B308E6">
              <w:rPr>
                <w:sz w:val="20"/>
                <w:szCs w:val="20"/>
              </w:rPr>
              <w:t>pristojnega organa</w:t>
            </w:r>
            <w:r w:rsidR="00E5484C">
              <w:rPr>
                <w:sz w:val="20"/>
                <w:szCs w:val="20"/>
              </w:rPr>
              <w:t xml:space="preserve"> F</w:t>
            </w:r>
            <w:r w:rsidR="002227AF">
              <w:rPr>
                <w:sz w:val="20"/>
                <w:szCs w:val="20"/>
              </w:rPr>
              <w:t>C</w:t>
            </w:r>
            <w:r w:rsidR="00F244CD">
              <w:rPr>
                <w:sz w:val="20"/>
                <w:szCs w:val="20"/>
              </w:rPr>
              <w:t xml:space="preserve"> v roku 3 mesecev</w:t>
            </w:r>
            <w:r w:rsidR="00C709CD">
              <w:rPr>
                <w:sz w:val="20"/>
                <w:szCs w:val="20"/>
              </w:rPr>
              <w:t>.</w:t>
            </w:r>
            <w:r w:rsidR="00C808B2">
              <w:rPr>
                <w:sz w:val="20"/>
                <w:szCs w:val="20"/>
              </w:rPr>
              <w:t xml:space="preserve"> </w:t>
            </w:r>
          </w:p>
        </w:tc>
      </w:tr>
    </w:tbl>
    <w:p w:rsidR="00C709CD" w:rsidRPr="007E165D" w:rsidRDefault="007E165D" w:rsidP="00C709CD">
      <w:pPr>
        <w:jc w:val="both"/>
        <w:rPr>
          <w:sz w:val="16"/>
          <w:szCs w:val="16"/>
        </w:rPr>
      </w:pPr>
      <w:r w:rsidRPr="007E165D">
        <w:rPr>
          <w:sz w:val="16"/>
          <w:szCs w:val="16"/>
        </w:rPr>
        <w:t>*</w:t>
      </w:r>
      <w:r w:rsidR="00C709CD" w:rsidRPr="007E165D">
        <w:rPr>
          <w:sz w:val="16"/>
          <w:szCs w:val="16"/>
        </w:rPr>
        <w:t>Če je pristojni organ izdal pozitivno odločbo, v njej navede, ali gre za izvzetje v celoti ali delno izvzetje z opredelitvijo limitov ter druge relevantne informacije; če je odločba pristojnega organa negativna se v njej navede, kateri pogoji niso izpolnjeni, in razlogi za mnenje</w:t>
      </w:r>
      <w:r w:rsidR="009D547A" w:rsidRPr="007E165D">
        <w:rPr>
          <w:sz w:val="16"/>
          <w:szCs w:val="16"/>
        </w:rPr>
        <w:t xml:space="preserve"> organa</w:t>
      </w:r>
      <w:r w:rsidR="00C709CD" w:rsidRPr="007E165D">
        <w:rPr>
          <w:sz w:val="16"/>
          <w:szCs w:val="16"/>
        </w:rPr>
        <w:t>, da pogoji niso izpolnjeni.</w:t>
      </w:r>
    </w:p>
    <w:p w:rsidR="00C709CD" w:rsidRDefault="00C709CD" w:rsidP="00D54F35">
      <w:pPr>
        <w:rPr>
          <w:sz w:val="20"/>
          <w:szCs w:val="20"/>
        </w:rPr>
      </w:pPr>
    </w:p>
    <w:p w:rsidR="001978CB" w:rsidRDefault="001978CB" w:rsidP="001978CB">
      <w:pPr>
        <w:rPr>
          <w:b/>
        </w:rPr>
      </w:pPr>
      <w:r>
        <w:rPr>
          <w:b/>
        </w:rPr>
        <w:t>Dokumentacija, ki jo mora predložiti F</w:t>
      </w:r>
      <w:r w:rsidR="002227AF">
        <w:rPr>
          <w:b/>
        </w:rPr>
        <w:t>C</w:t>
      </w:r>
      <w:r>
        <w:rPr>
          <w:b/>
        </w:rPr>
        <w:t xml:space="preserve"> pri oddaji vloge za izvzetje</w:t>
      </w:r>
      <w:r w:rsidR="004C0C2D">
        <w:rPr>
          <w:b/>
        </w:rPr>
        <w:t xml:space="preserve"> (3. člen EMIR in 18. člen RTS 149/2013)</w:t>
      </w:r>
      <w:r>
        <w:rPr>
          <w:b/>
        </w:rPr>
        <w:t>:</w:t>
      </w:r>
    </w:p>
    <w:p w:rsidR="00E74BC3" w:rsidRDefault="00E74BC3" w:rsidP="00E74BC3">
      <w:pPr>
        <w:pStyle w:val="Odstavekseznama"/>
        <w:numPr>
          <w:ilvl w:val="0"/>
          <w:numId w:val="3"/>
        </w:numPr>
      </w:pPr>
      <w:r>
        <w:t>ime, sedež in identifikator F</w:t>
      </w:r>
      <w:r w:rsidR="002227AF">
        <w:t>C</w:t>
      </w:r>
      <w:r>
        <w:t xml:space="preserve"> v skladu s 3. členom ITS 1247/2012</w:t>
      </w:r>
      <w:r w:rsidR="001727A3">
        <w:t xml:space="preserve"> in ITS 2017/105 </w:t>
      </w:r>
      <w:r>
        <w:t>(LEI);</w:t>
      </w:r>
    </w:p>
    <w:p w:rsidR="00E74BC3" w:rsidRDefault="00E74BC3" w:rsidP="00E74BC3">
      <w:pPr>
        <w:pStyle w:val="Odstavekseznama"/>
        <w:numPr>
          <w:ilvl w:val="0"/>
          <w:numId w:val="3"/>
        </w:numPr>
      </w:pPr>
      <w:r>
        <w:t>ime, sedež in LEI nasprotnih strank v transakcijah;</w:t>
      </w:r>
    </w:p>
    <w:p w:rsidR="00E74BC3" w:rsidRDefault="004A6A0C" w:rsidP="00E74BC3">
      <w:pPr>
        <w:pStyle w:val="Odstavekseznama"/>
        <w:numPr>
          <w:ilvl w:val="0"/>
          <w:numId w:val="3"/>
        </w:numPr>
      </w:pPr>
      <w:r>
        <w:t xml:space="preserve">navedbo </w:t>
      </w:r>
      <w:r w:rsidR="00E74BC3">
        <w:t>korporacijsk</w:t>
      </w:r>
      <w:r>
        <w:t>ega</w:t>
      </w:r>
      <w:r w:rsidR="00E74BC3">
        <w:t xml:space="preserve"> odnos</w:t>
      </w:r>
      <w:r>
        <w:t>a</w:t>
      </w:r>
      <w:r w:rsidR="00E74BC3">
        <w:t xml:space="preserve"> med strankami</w:t>
      </w:r>
      <w:r w:rsidR="00367C39" w:rsidRPr="00367C39">
        <w:t xml:space="preserve"> </w:t>
      </w:r>
      <w:r w:rsidR="00367C39">
        <w:t>ter dokazilo, da sta nasprotni stranki vključeni v isto konsolidirano poročilo skladno z določbami 3. točke 3. člena EMIR</w:t>
      </w:r>
      <w:r w:rsidR="00E74BC3">
        <w:t>;</w:t>
      </w:r>
    </w:p>
    <w:p w:rsidR="00663BD7" w:rsidRDefault="00663BD7" w:rsidP="00663BD7">
      <w:pPr>
        <w:pStyle w:val="Odstavekseznama"/>
        <w:numPr>
          <w:ilvl w:val="0"/>
          <w:numId w:val="3"/>
        </w:numPr>
        <w:jc w:val="both"/>
      </w:pPr>
      <w:r>
        <w:t xml:space="preserve">opis, s katerim nasprotni stranki dokazujeta, da imata vzpostavljen ustrezen centraliziran sistem upravljanja tveganj </w:t>
      </w:r>
      <w:r w:rsidRPr="00D14525">
        <w:t>za</w:t>
      </w:r>
      <w:r>
        <w:t xml:space="preserve"> njihovo</w:t>
      </w:r>
      <w:r w:rsidRPr="00D14525">
        <w:t xml:space="preserve"> ugotavljanje, merjenje</w:t>
      </w:r>
      <w:r>
        <w:t xml:space="preserve">, </w:t>
      </w:r>
      <w:r w:rsidRPr="00D14525">
        <w:t xml:space="preserve">ocenjevanje, obvladovanje </w:t>
      </w:r>
      <w:r>
        <w:t>in</w:t>
      </w:r>
      <w:r w:rsidRPr="00D14525">
        <w:t xml:space="preserve"> spremljanje</w:t>
      </w:r>
      <w:r>
        <w:t>, vključno</w:t>
      </w:r>
      <w:r w:rsidRPr="00D14525">
        <w:t xml:space="preserve"> </w:t>
      </w:r>
      <w:r>
        <w:t>s primernimi mehanizmi notranjih kontrol, in sicer z navedbo naslednjega:</w:t>
      </w:r>
    </w:p>
    <w:p w:rsidR="00663BD7" w:rsidRDefault="00663BD7" w:rsidP="00663BD7">
      <w:pPr>
        <w:pStyle w:val="Odstavekseznama"/>
        <w:numPr>
          <w:ilvl w:val="1"/>
          <w:numId w:val="3"/>
        </w:numPr>
        <w:jc w:val="both"/>
      </w:pPr>
      <w:r>
        <w:t>opis politike upravljanja tveganj in notranjih kontrol s poudarkom na prikazu njihove centraliziranosti;</w:t>
      </w:r>
    </w:p>
    <w:p w:rsidR="00663BD7" w:rsidRDefault="00663BD7" w:rsidP="00663BD7">
      <w:pPr>
        <w:pStyle w:val="Odstavekseznama"/>
        <w:numPr>
          <w:ilvl w:val="1"/>
          <w:numId w:val="3"/>
        </w:numPr>
        <w:jc w:val="both"/>
      </w:pPr>
      <w:r>
        <w:t>opis odgovornosti za upravljanje tveganj s strani višjega vodstva, vključno s pregledom in zagotavljanjem ažurnosti tehnik merjenja tveganj;</w:t>
      </w:r>
    </w:p>
    <w:p w:rsidR="00663BD7" w:rsidRDefault="00663BD7" w:rsidP="00663BD7">
      <w:pPr>
        <w:pStyle w:val="Odstavekseznama"/>
        <w:numPr>
          <w:ilvl w:val="1"/>
          <w:numId w:val="3"/>
        </w:numPr>
        <w:jc w:val="both"/>
      </w:pPr>
      <w:r>
        <w:t>opis mehanizmov poročanja z namenom seznanitve upravljalnega organa, višjega vodstva, poslovnih linij, upravljavcev tveganj in ostalih kontrolnih funkcij z informacijami o merjenju, analizi in spremljanju tveganj;</w:t>
      </w:r>
    </w:p>
    <w:p w:rsidR="00663BD7" w:rsidRDefault="00663BD7" w:rsidP="00663BD7">
      <w:pPr>
        <w:pStyle w:val="Odstavekseznama"/>
        <w:numPr>
          <w:ilvl w:val="1"/>
          <w:numId w:val="3"/>
        </w:numPr>
        <w:jc w:val="both"/>
      </w:pPr>
      <w:r>
        <w:t xml:space="preserve">opis zagotavljanja skladnosti in zanesljivosti internih procesov in informacijskih sistemov z namenom ugotavljanja, ocenjevanja, merjenja in spremljanja ter obvladovanja vseh </w:t>
      </w:r>
      <w:r>
        <w:lastRenderedPageBreak/>
        <w:t>virov relevantnih tveganj na agregatni ravni ter na ravni posamezne osebe, poslovne linije in portfelja;</w:t>
      </w:r>
    </w:p>
    <w:p w:rsidR="00663BD7" w:rsidRDefault="00663BD7" w:rsidP="00663BD7">
      <w:pPr>
        <w:pStyle w:val="Odstavekseznama"/>
        <w:numPr>
          <w:ilvl w:val="1"/>
          <w:numId w:val="3"/>
        </w:numPr>
        <w:jc w:val="both"/>
      </w:pPr>
      <w:r>
        <w:t>opis načina poročanja ključnih informacij v zvezi s tveganji centralni funkciji upravljanja s tveganji z namenom ustreznega centraliziranega ugotavljanja, ocenjevanja, merjenja in spremljanja ter obvladovanja tveganj v zvezi z relevantnimi skupinami oseb;</w:t>
      </w:r>
    </w:p>
    <w:p w:rsidR="00E74BC3" w:rsidRDefault="00E74BC3" w:rsidP="00E74BC3">
      <w:pPr>
        <w:pStyle w:val="Odstavekseznama"/>
        <w:numPr>
          <w:ilvl w:val="0"/>
          <w:numId w:val="3"/>
        </w:numPr>
      </w:pPr>
      <w:r>
        <w:t>podrobnosti o podpornih pogodbenih razmerjih med strankami;</w:t>
      </w:r>
    </w:p>
    <w:p w:rsidR="00E74BC3" w:rsidRDefault="00E74BC3" w:rsidP="00E74BC3">
      <w:pPr>
        <w:pStyle w:val="Odstavekseznama"/>
        <w:numPr>
          <w:ilvl w:val="0"/>
          <w:numId w:val="3"/>
        </w:numPr>
        <w:jc w:val="both"/>
      </w:pPr>
      <w:r>
        <w:t>kategorijo transakcije znotraj skupine, kot je opredeljena v 1. odstavku in v točkah (a) do (d) 2. odstavka 3. člena EMIR;</w:t>
      </w:r>
    </w:p>
    <w:p w:rsidR="00E74BC3" w:rsidRDefault="00E74BC3" w:rsidP="00E74BC3">
      <w:pPr>
        <w:pStyle w:val="Odstavekseznama"/>
        <w:numPr>
          <w:ilvl w:val="0"/>
          <w:numId w:val="3"/>
        </w:numPr>
      </w:pPr>
      <w:r>
        <w:t xml:space="preserve">podrobnosti o transakcijah, za katere nasprotna stranka zahteva izvzetje, vključno z: </w:t>
      </w:r>
    </w:p>
    <w:p w:rsidR="001978CB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razredom sredstev pogodb o IFI OTC;</w:t>
      </w:r>
    </w:p>
    <w:p w:rsidR="00B864F5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vrsto pogodb o IFI OTC;</w:t>
      </w:r>
    </w:p>
    <w:p w:rsidR="00B864F5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vrsto osnovnih sredstev;</w:t>
      </w:r>
    </w:p>
    <w:p w:rsidR="00B864F5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nominalno valuto in valuto poravnave;</w:t>
      </w:r>
    </w:p>
    <w:p w:rsidR="00B864F5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razponom rokov zapadlosti pogodb;</w:t>
      </w:r>
    </w:p>
    <w:p w:rsidR="00B864F5" w:rsidRPr="00102C76" w:rsidRDefault="00B864F5" w:rsidP="00E74BC3">
      <w:pPr>
        <w:pStyle w:val="Odstavekseznama"/>
        <w:numPr>
          <w:ilvl w:val="1"/>
          <w:numId w:val="3"/>
        </w:numPr>
        <w:rPr>
          <w:szCs w:val="20"/>
        </w:rPr>
      </w:pPr>
      <w:r w:rsidRPr="00102C76">
        <w:rPr>
          <w:szCs w:val="20"/>
        </w:rPr>
        <w:t>vrsto poravnave;</w:t>
      </w:r>
    </w:p>
    <w:p w:rsidR="00B864F5" w:rsidRPr="00102C76" w:rsidRDefault="00B864F5" w:rsidP="008F3555">
      <w:pPr>
        <w:pStyle w:val="Odstavekseznama"/>
        <w:numPr>
          <w:ilvl w:val="1"/>
          <w:numId w:val="3"/>
        </w:numPr>
        <w:jc w:val="both"/>
        <w:rPr>
          <w:szCs w:val="20"/>
        </w:rPr>
      </w:pPr>
      <w:r w:rsidRPr="00102C76">
        <w:rPr>
          <w:szCs w:val="20"/>
        </w:rPr>
        <w:t>pričakovano velikostjo, količino, pogostostjo pogodb o IFI OTC na leto</w:t>
      </w:r>
      <w:r w:rsidR="008F3555" w:rsidRPr="00102C76">
        <w:rPr>
          <w:szCs w:val="20"/>
        </w:rPr>
        <w:t xml:space="preserve"> (ugotovljenih na podlagi preteklih transakcij znotraj skupine oziroma na podlagi modela in pričakovanih aktivnosti v prihodnje)</w:t>
      </w:r>
      <w:r w:rsidRPr="00102C76">
        <w:rPr>
          <w:szCs w:val="20"/>
        </w:rPr>
        <w:t>;</w:t>
      </w:r>
    </w:p>
    <w:p w:rsidR="00266520" w:rsidRPr="00266520" w:rsidRDefault="00B864F5" w:rsidP="008F3555">
      <w:pPr>
        <w:pStyle w:val="Odstavekseznama"/>
        <w:numPr>
          <w:ilvl w:val="0"/>
          <w:numId w:val="3"/>
        </w:numPr>
        <w:jc w:val="both"/>
      </w:pPr>
      <w:r w:rsidRPr="0085028D">
        <w:rPr>
          <w:szCs w:val="20"/>
        </w:rPr>
        <w:t xml:space="preserve">dodatne informacije, ki potrjujejo, da so izpolnjeni pogoji iz </w:t>
      </w:r>
      <w:r w:rsidR="00C808B2">
        <w:rPr>
          <w:szCs w:val="20"/>
        </w:rPr>
        <w:t>6.</w:t>
      </w:r>
      <w:r w:rsidRPr="0085028D">
        <w:rPr>
          <w:szCs w:val="20"/>
        </w:rPr>
        <w:t xml:space="preserve"> do </w:t>
      </w:r>
      <w:r w:rsidR="00C808B2">
        <w:rPr>
          <w:szCs w:val="20"/>
        </w:rPr>
        <w:t>10.</w:t>
      </w:r>
      <w:r w:rsidRPr="0085028D">
        <w:rPr>
          <w:szCs w:val="20"/>
        </w:rPr>
        <w:t xml:space="preserve"> odstavka 11.</w:t>
      </w:r>
      <w:r w:rsidR="00C808B2">
        <w:rPr>
          <w:szCs w:val="20"/>
        </w:rPr>
        <w:t> </w:t>
      </w:r>
      <w:r w:rsidRPr="0085028D">
        <w:rPr>
          <w:szCs w:val="20"/>
        </w:rPr>
        <w:t>člena EMIR</w:t>
      </w:r>
      <w:r w:rsidR="00266520">
        <w:rPr>
          <w:szCs w:val="20"/>
        </w:rPr>
        <w:t>:</w:t>
      </w:r>
      <w:r w:rsidRPr="0085028D">
        <w:rPr>
          <w:szCs w:val="20"/>
        </w:rPr>
        <w:t xml:space="preserve">  </w:t>
      </w:r>
    </w:p>
    <w:p w:rsidR="00266520" w:rsidRPr="00266520" w:rsidRDefault="00B864F5" w:rsidP="00266520">
      <w:pPr>
        <w:pStyle w:val="Odstavekseznama"/>
        <w:numPr>
          <w:ilvl w:val="1"/>
          <w:numId w:val="3"/>
        </w:numPr>
        <w:jc w:val="both"/>
      </w:pPr>
      <w:r w:rsidRPr="0085028D">
        <w:rPr>
          <w:szCs w:val="20"/>
        </w:rPr>
        <w:t>kopij</w:t>
      </w:r>
      <w:r w:rsidR="00266520">
        <w:rPr>
          <w:szCs w:val="20"/>
        </w:rPr>
        <w:t>e</w:t>
      </w:r>
      <w:r w:rsidRPr="0085028D">
        <w:rPr>
          <w:szCs w:val="20"/>
        </w:rPr>
        <w:t xml:space="preserve"> dokumentiranih postopkov </w:t>
      </w:r>
      <w:r w:rsidR="00266520">
        <w:rPr>
          <w:szCs w:val="20"/>
        </w:rPr>
        <w:t xml:space="preserve">upravljanja in </w:t>
      </w:r>
      <w:r w:rsidRPr="0085028D">
        <w:rPr>
          <w:szCs w:val="20"/>
        </w:rPr>
        <w:t>obvladovanja tveganj</w:t>
      </w:r>
      <w:r w:rsidR="00266520">
        <w:rPr>
          <w:szCs w:val="20"/>
        </w:rPr>
        <w:t xml:space="preserve">, ki morajo zagotavljati redno spremljanje izpostavljenosti znotraj skupine in pravočasno poravnavo obveznosti, ki izhajajo iz transakcij </w:t>
      </w:r>
      <w:r w:rsidR="00CC7396">
        <w:rPr>
          <w:szCs w:val="20"/>
        </w:rPr>
        <w:t xml:space="preserve">z IFI OTC </w:t>
      </w:r>
      <w:r w:rsidR="00266520">
        <w:rPr>
          <w:szCs w:val="20"/>
        </w:rPr>
        <w:t>znotraj skupine</w:t>
      </w:r>
      <w:r w:rsidR="00716BEF">
        <w:rPr>
          <w:szCs w:val="20"/>
        </w:rPr>
        <w:t>, ter potrjujejo zanesljivost, trdnost in skladnost s kompleksnostjo transakcij z IFI</w:t>
      </w:r>
      <w:r w:rsidR="00266520">
        <w:rPr>
          <w:szCs w:val="20"/>
        </w:rPr>
        <w:t>;</w:t>
      </w:r>
      <w:r w:rsidRPr="0085028D">
        <w:rPr>
          <w:szCs w:val="20"/>
        </w:rPr>
        <w:t xml:space="preserve"> </w:t>
      </w:r>
    </w:p>
    <w:p w:rsidR="00266520" w:rsidRPr="00266520" w:rsidRDefault="00534FC8" w:rsidP="00266520">
      <w:pPr>
        <w:pStyle w:val="Odstavekseznama"/>
        <w:numPr>
          <w:ilvl w:val="1"/>
          <w:numId w:val="3"/>
        </w:numPr>
        <w:jc w:val="both"/>
      </w:pPr>
      <w:r>
        <w:rPr>
          <w:szCs w:val="20"/>
        </w:rPr>
        <w:t xml:space="preserve">izjavo </w:t>
      </w:r>
      <w:r w:rsidR="00423F18">
        <w:rPr>
          <w:szCs w:val="20"/>
        </w:rPr>
        <w:t>oziroma</w:t>
      </w:r>
      <w:r>
        <w:rPr>
          <w:szCs w:val="20"/>
        </w:rPr>
        <w:t xml:space="preserve"> ustrezno </w:t>
      </w:r>
      <w:r w:rsidR="00266520">
        <w:rPr>
          <w:szCs w:val="20"/>
        </w:rPr>
        <w:t xml:space="preserve">dokazilo, da ne obstajajo </w:t>
      </w:r>
      <w:r w:rsidR="00266520" w:rsidRPr="00266520">
        <w:rPr>
          <w:szCs w:val="20"/>
        </w:rPr>
        <w:t xml:space="preserve">trenutne ali predvidene dejanske ali pravne ovire za takojšen prenos </w:t>
      </w:r>
      <w:r w:rsidR="00AC15B3">
        <w:rPr>
          <w:szCs w:val="20"/>
        </w:rPr>
        <w:t>kapitala</w:t>
      </w:r>
      <w:r w:rsidR="00266520" w:rsidRPr="00266520">
        <w:rPr>
          <w:szCs w:val="20"/>
        </w:rPr>
        <w:t xml:space="preserve"> ali odplačilo obveznosti med nasprotnimi strankami</w:t>
      </w:r>
      <w:r w:rsidR="008938F0">
        <w:rPr>
          <w:szCs w:val="20"/>
        </w:rPr>
        <w:t xml:space="preserve">, </w:t>
      </w:r>
      <w:r w:rsidR="004D73E9">
        <w:rPr>
          <w:szCs w:val="20"/>
        </w:rPr>
        <w:t xml:space="preserve">skladno </w:t>
      </w:r>
      <w:r w:rsidR="00F3592E">
        <w:rPr>
          <w:szCs w:val="20"/>
        </w:rPr>
        <w:t>s 3</w:t>
      </w:r>
      <w:r w:rsidR="00036C8A">
        <w:rPr>
          <w:szCs w:val="20"/>
        </w:rPr>
        <w:t>3</w:t>
      </w:r>
      <w:r w:rsidR="00F3592E">
        <w:rPr>
          <w:szCs w:val="20"/>
        </w:rPr>
        <w:t>. in 3</w:t>
      </w:r>
      <w:r w:rsidR="00036C8A">
        <w:rPr>
          <w:szCs w:val="20"/>
        </w:rPr>
        <w:t>4</w:t>
      </w:r>
      <w:r w:rsidR="00F3592E">
        <w:rPr>
          <w:szCs w:val="20"/>
        </w:rPr>
        <w:t>. členom</w:t>
      </w:r>
      <w:r w:rsidR="008938F0">
        <w:rPr>
          <w:szCs w:val="20"/>
        </w:rPr>
        <w:t xml:space="preserve"> </w:t>
      </w:r>
      <w:r w:rsidR="008938F0" w:rsidRPr="0093466E">
        <w:rPr>
          <w:szCs w:val="20"/>
        </w:rPr>
        <w:t>RTS</w:t>
      </w:r>
      <w:r w:rsidR="00036C8A">
        <w:rPr>
          <w:szCs w:val="20"/>
        </w:rPr>
        <w:t xml:space="preserve"> 2016/2251</w:t>
      </w:r>
      <w:r w:rsidR="00266520">
        <w:rPr>
          <w:szCs w:val="20"/>
        </w:rPr>
        <w:t>;</w:t>
      </w:r>
    </w:p>
    <w:p w:rsidR="00266520" w:rsidRDefault="00B864F5" w:rsidP="00266520">
      <w:pPr>
        <w:pStyle w:val="Odstavekseznama"/>
        <w:numPr>
          <w:ilvl w:val="1"/>
          <w:numId w:val="3"/>
        </w:numPr>
        <w:jc w:val="both"/>
      </w:pPr>
      <w:r w:rsidRPr="0085028D">
        <w:rPr>
          <w:szCs w:val="20"/>
        </w:rPr>
        <w:t xml:space="preserve">informacije o </w:t>
      </w:r>
      <w:r w:rsidRPr="0085028D">
        <w:t>preteklih transakcijah</w:t>
      </w:r>
      <w:r w:rsidR="00266520">
        <w:t>;</w:t>
      </w:r>
      <w:r w:rsidR="008F3555" w:rsidRPr="0085028D">
        <w:t xml:space="preserve"> </w:t>
      </w:r>
    </w:p>
    <w:p w:rsidR="00266520" w:rsidRDefault="00B864F5" w:rsidP="00266520">
      <w:pPr>
        <w:pStyle w:val="Odstavekseznama"/>
        <w:numPr>
          <w:ilvl w:val="1"/>
          <w:numId w:val="3"/>
        </w:numPr>
        <w:jc w:val="both"/>
      </w:pPr>
      <w:r w:rsidRPr="0085028D">
        <w:t xml:space="preserve">kopije </w:t>
      </w:r>
      <w:r w:rsidR="00AC15B3">
        <w:t>zadevnih</w:t>
      </w:r>
      <w:r w:rsidRPr="0085028D">
        <w:t xml:space="preserve"> pogodb med strankami</w:t>
      </w:r>
      <w:r w:rsidR="00266520">
        <w:t>;</w:t>
      </w:r>
    </w:p>
    <w:p w:rsidR="00B864F5" w:rsidRDefault="00266520" w:rsidP="00266520">
      <w:pPr>
        <w:pStyle w:val="Odstavekseznama"/>
        <w:numPr>
          <w:ilvl w:val="1"/>
          <w:numId w:val="3"/>
        </w:numPr>
        <w:jc w:val="both"/>
      </w:pPr>
      <w:r>
        <w:t>n</w:t>
      </w:r>
      <w:r w:rsidR="008F3555" w:rsidRPr="0085028D">
        <w:t>a zahtevo pristojnega organa nasprotne stranke predložijo tudi</w:t>
      </w:r>
      <w:r w:rsidR="002E5AB3">
        <w:t xml:space="preserve"> neodvisno</w:t>
      </w:r>
      <w:r w:rsidR="00B864F5" w:rsidRPr="0085028D">
        <w:t xml:space="preserve"> pravn</w:t>
      </w:r>
      <w:r w:rsidR="008F3555" w:rsidRPr="0085028D">
        <w:t>o</w:t>
      </w:r>
      <w:r w:rsidR="00B53DE4">
        <w:t xml:space="preserve"> mnenje</w:t>
      </w:r>
      <w:r w:rsidR="002E5AB3">
        <w:t xml:space="preserve"> (lahko interno)</w:t>
      </w:r>
      <w:r w:rsidR="00B53DE4">
        <w:t>;</w:t>
      </w:r>
    </w:p>
    <w:p w:rsidR="00B53DE4" w:rsidRDefault="00B53DE4" w:rsidP="0011359D">
      <w:pPr>
        <w:pStyle w:val="Odstavekseznama"/>
        <w:numPr>
          <w:ilvl w:val="0"/>
          <w:numId w:val="3"/>
        </w:numPr>
        <w:jc w:val="both"/>
      </w:pPr>
      <w:r>
        <w:t>dokazilo o plačilu takse.</w:t>
      </w:r>
    </w:p>
    <w:p w:rsidR="00B53DE4" w:rsidRDefault="00B53DE4" w:rsidP="00B53DE4">
      <w:pPr>
        <w:jc w:val="both"/>
      </w:pPr>
    </w:p>
    <w:p w:rsidR="0059095A" w:rsidRDefault="00AC15B3" w:rsidP="00B53DE4">
      <w:pPr>
        <w:jc w:val="both"/>
        <w:rPr>
          <w:b/>
        </w:rPr>
      </w:pPr>
      <w:r>
        <w:rPr>
          <w:b/>
        </w:rPr>
        <w:t xml:space="preserve">Posebnosti </w:t>
      </w:r>
      <w:r w:rsidR="005F3728" w:rsidRPr="005F3728">
        <w:rPr>
          <w:b/>
        </w:rPr>
        <w:t>postopka v zvezi s posredovanjem vloge</w:t>
      </w:r>
      <w:r w:rsidR="00A27CE2">
        <w:rPr>
          <w:b/>
        </w:rPr>
        <w:t xml:space="preserve"> za izvzetja iz izmenjave zavarovanj</w:t>
      </w:r>
      <w:r w:rsidR="0059095A">
        <w:rPr>
          <w:b/>
        </w:rPr>
        <w:t xml:space="preserve"> </w:t>
      </w:r>
    </w:p>
    <w:p w:rsidR="0011359D" w:rsidRPr="00396303" w:rsidRDefault="00673784" w:rsidP="00B53DE4">
      <w:pPr>
        <w:jc w:val="both"/>
      </w:pPr>
      <w:r>
        <w:t>Na podlagi 3</w:t>
      </w:r>
      <w:r w:rsidR="00036C8A">
        <w:t>2</w:t>
      </w:r>
      <w:r>
        <w:t xml:space="preserve">. člena </w:t>
      </w:r>
      <w:r w:rsidRPr="0093466E">
        <w:rPr>
          <w:szCs w:val="20"/>
        </w:rPr>
        <w:t xml:space="preserve">RTS </w:t>
      </w:r>
      <w:r w:rsidR="00036C8A">
        <w:rPr>
          <w:szCs w:val="20"/>
        </w:rPr>
        <w:t>2016/2251</w:t>
      </w:r>
      <w:r w:rsidRPr="00396303">
        <w:t xml:space="preserve"> </w:t>
      </w:r>
      <w:r>
        <w:t>se v</w:t>
      </w:r>
      <w:r w:rsidR="0011359D" w:rsidRPr="00396303">
        <w:t>loga šteje za prejeto, ko je popolna, pri čemer ima pristojni organ možnost</w:t>
      </w:r>
      <w:r w:rsidR="0011359D">
        <w:t xml:space="preserve"> predhodno</w:t>
      </w:r>
      <w:r w:rsidR="0011359D" w:rsidRPr="00396303">
        <w:t xml:space="preserve"> zahtevati dodatna pojasnila in dokumentacijo. F</w:t>
      </w:r>
      <w:r w:rsidR="002227AF">
        <w:t>C</w:t>
      </w:r>
      <w:r w:rsidR="0011359D" w:rsidRPr="00396303">
        <w:t xml:space="preserve"> lahko uporablja izvzetje šele po prejemu pozitivne odločbe pristojnega organa</w:t>
      </w:r>
      <w:r w:rsidR="0088185A">
        <w:rPr>
          <w:szCs w:val="20"/>
        </w:rPr>
        <w:t>.</w:t>
      </w:r>
    </w:p>
    <w:p w:rsidR="004A25DE" w:rsidRDefault="004A25DE" w:rsidP="00D54F35">
      <w:pPr>
        <w:rPr>
          <w:sz w:val="20"/>
          <w:szCs w:val="20"/>
        </w:rPr>
      </w:pPr>
    </w:p>
    <w:p w:rsidR="00134398" w:rsidRPr="00134398" w:rsidRDefault="00134398" w:rsidP="00134398">
      <w:pPr>
        <w:jc w:val="both"/>
        <w:rPr>
          <w:szCs w:val="20"/>
        </w:rPr>
      </w:pPr>
      <w:r w:rsidRPr="00134398">
        <w:rPr>
          <w:szCs w:val="20"/>
        </w:rPr>
        <w:t>Nasprotna stranka, ki je pristojnemu organu posredovala vlogo za izvzetje oziroma prejela pozitivno odločbo, je dolžna pristojni organ obvestiti o vseh spremembah, ki vplivajo na izpolnjevanje pogojev iz 3. člena EMIR in 6. do 10. odstavka 11. člena EMIR.</w:t>
      </w:r>
    </w:p>
    <w:p w:rsidR="00134398" w:rsidRDefault="00134398" w:rsidP="00D54F35">
      <w:pPr>
        <w:rPr>
          <w:sz w:val="20"/>
          <w:szCs w:val="20"/>
        </w:rPr>
      </w:pPr>
    </w:p>
    <w:p w:rsidR="005F3728" w:rsidRPr="005F3728" w:rsidRDefault="005F3728" w:rsidP="005F3728">
      <w:pPr>
        <w:jc w:val="both"/>
        <w:rPr>
          <w:b/>
        </w:rPr>
      </w:pPr>
      <w:r w:rsidRPr="005F3728">
        <w:rPr>
          <w:b/>
        </w:rPr>
        <w:t>Obveznost javne objave</w:t>
      </w:r>
      <w:r>
        <w:rPr>
          <w:b/>
        </w:rPr>
        <w:t xml:space="preserve"> informacij o izvzetju iz izmenjave zavarovanj</w:t>
      </w:r>
    </w:p>
    <w:p w:rsidR="002F5CD9" w:rsidRPr="00396303" w:rsidRDefault="004D1B27" w:rsidP="005F3728">
      <w:pPr>
        <w:jc w:val="both"/>
      </w:pPr>
      <w:r w:rsidRPr="00396303">
        <w:t xml:space="preserve">Vse nasprotne stranke, ki sklepajo transakcije znotraj skupine, za katere se uporablja izvzetje, morajo informacijo o izvzetju </w:t>
      </w:r>
      <w:r w:rsidR="00C92473">
        <w:t>iz</w:t>
      </w:r>
      <w:r w:rsidRPr="00396303">
        <w:t xml:space="preserve"> izmenjave zavarovanj </w:t>
      </w:r>
      <w:r w:rsidRPr="00396303">
        <w:rPr>
          <w:u w:val="single"/>
        </w:rPr>
        <w:t>javno objaviti</w:t>
      </w:r>
      <w:r w:rsidR="0010518A" w:rsidRPr="00396303">
        <w:t xml:space="preserve">, in sicer objava </w:t>
      </w:r>
      <w:r w:rsidRPr="00396303">
        <w:t>vključuje</w:t>
      </w:r>
      <w:r w:rsidR="00EF3161">
        <w:t xml:space="preserve"> </w:t>
      </w:r>
      <w:r w:rsidR="00EF3161" w:rsidRPr="00396303">
        <w:t>(11 (11) člen EMIR, 20. člen RTS 149/2013)</w:t>
      </w:r>
      <w:r w:rsidRPr="00396303">
        <w:t>:</w:t>
      </w:r>
    </w:p>
    <w:p w:rsidR="004D1B27" w:rsidRPr="00396303" w:rsidRDefault="004D1B27" w:rsidP="004D1B27">
      <w:pPr>
        <w:pStyle w:val="Odstavekseznama"/>
        <w:numPr>
          <w:ilvl w:val="0"/>
          <w:numId w:val="4"/>
        </w:numPr>
      </w:pPr>
      <w:r w:rsidRPr="00396303">
        <w:t>nasprotne stranke pri transakcijah, vključno z LEI;</w:t>
      </w:r>
    </w:p>
    <w:p w:rsidR="004D1B27" w:rsidRPr="00396303" w:rsidRDefault="004D1B27" w:rsidP="004D1B27">
      <w:pPr>
        <w:pStyle w:val="Odstavekseznama"/>
        <w:numPr>
          <w:ilvl w:val="0"/>
          <w:numId w:val="4"/>
        </w:numPr>
      </w:pPr>
      <w:r w:rsidRPr="00396303">
        <w:t>razmerje med nasprotnimi strankami;</w:t>
      </w:r>
    </w:p>
    <w:p w:rsidR="004D1B27" w:rsidRPr="00396303" w:rsidRDefault="004D1B27" w:rsidP="004D1B27">
      <w:pPr>
        <w:pStyle w:val="Odstavekseznama"/>
        <w:numPr>
          <w:ilvl w:val="0"/>
          <w:numId w:val="4"/>
        </w:numPr>
      </w:pPr>
      <w:r w:rsidRPr="00396303">
        <w:t>ali gre pri izvzetju za izvzetje v celoti ali za delno izvzetje;</w:t>
      </w:r>
    </w:p>
    <w:p w:rsidR="00CB115C" w:rsidRDefault="004D1B27" w:rsidP="00DA42B4">
      <w:pPr>
        <w:pStyle w:val="Odstavekseznama"/>
        <w:numPr>
          <w:ilvl w:val="0"/>
          <w:numId w:val="4"/>
        </w:numPr>
        <w:jc w:val="both"/>
      </w:pPr>
      <w:r w:rsidRPr="00396303">
        <w:t>nominalni skupni znesek pogodb o IFI OTC, za katere se uporablja izvzetje znotraj skupine.</w:t>
      </w:r>
    </w:p>
    <w:p w:rsidR="00CB115C" w:rsidRDefault="00CB115C">
      <w:pPr>
        <w:spacing w:after="200" w:line="276" w:lineRule="auto"/>
      </w:pPr>
      <w:r>
        <w:br w:type="page"/>
      </w:r>
    </w:p>
    <w:p w:rsidR="00CB115C" w:rsidRPr="00AE118B" w:rsidRDefault="00CB115C" w:rsidP="00CB115C">
      <w:pPr>
        <w:rPr>
          <w:b/>
        </w:rPr>
      </w:pPr>
      <w:r w:rsidRPr="005F3728">
        <w:rPr>
          <w:b/>
          <w:smallCaps/>
        </w:rPr>
        <w:lastRenderedPageBreak/>
        <w:t xml:space="preserve">Transakcije znotraj skupine kot </w:t>
      </w:r>
      <w:r w:rsidRPr="005F3728">
        <w:rPr>
          <w:b/>
          <w:smallCaps/>
          <w:u w:val="single"/>
        </w:rPr>
        <w:t xml:space="preserve">izjeme </w:t>
      </w:r>
      <w:r>
        <w:rPr>
          <w:b/>
          <w:smallCaps/>
          <w:u w:val="single"/>
        </w:rPr>
        <w:t>poročanja</w:t>
      </w:r>
      <w:r>
        <w:rPr>
          <w:b/>
        </w:rPr>
        <w:t xml:space="preserve"> </w:t>
      </w:r>
      <w:r w:rsidRPr="00F763CC">
        <w:t>(</w:t>
      </w:r>
      <w:r>
        <w:t>9 (1) člen EMIR)</w:t>
      </w:r>
    </w:p>
    <w:p w:rsidR="00CB115C" w:rsidRDefault="00CB115C" w:rsidP="00CB115C">
      <w:pPr>
        <w:jc w:val="both"/>
        <w:rPr>
          <w:sz w:val="20"/>
          <w:szCs w:val="20"/>
        </w:rPr>
      </w:pPr>
      <w:r>
        <w:t xml:space="preserve">Nasprotne stranke lahko v zvezi </w:t>
      </w:r>
      <w:r w:rsidR="00DE02AC">
        <w:t xml:space="preserve">z izvzetjem </w:t>
      </w:r>
      <w:r>
        <w:t>transakcij znotraj skupine</w:t>
      </w:r>
      <w:r w:rsidR="00CC2D1D">
        <w:t xml:space="preserve"> iz obveznosti poročanja</w:t>
      </w:r>
      <w:bookmarkStart w:id="0" w:name="_GoBack"/>
      <w:bookmarkEnd w:id="0"/>
      <w:r>
        <w:t xml:space="preserve"> pisno obvestijo pristojne organe.</w:t>
      </w:r>
      <w:r w:rsidRPr="00BE3F22">
        <w:t xml:space="preserve"> </w:t>
      </w:r>
      <w:r>
        <w:t xml:space="preserve">Upravičenost do uveljavljanja izjeme je prikazana na sliki, postopek obravnave uradnega obvestila o izjemah pa je povzet v spodnji tabeli. </w:t>
      </w:r>
    </w:p>
    <w:p w:rsidR="00CB115C" w:rsidRDefault="00CC2D1D" w:rsidP="00CB115C">
      <w:r>
        <w:rPr>
          <w:noProof/>
          <w:lang w:eastAsia="sl-SI"/>
        </w:rPr>
        <w:pict>
          <v:shape id="_x0000_s1108" type="#_x0000_t202" style="position:absolute;margin-left:139.25pt;margin-top:11.55pt;width:23.75pt;height:8.4pt;z-index:251740160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090" type="#_x0000_t202" style="position:absolute;margin-left:166.2pt;margin-top:1.4pt;width:129.95pt;height:21.65pt;z-index:251721728;v-text-anchor:middle">
            <v:textbox inset=",.57mm,,.57mm">
              <w:txbxContent>
                <w:p w:rsidR="00CB115C" w:rsidRPr="007446E7" w:rsidRDefault="00CB115C" w:rsidP="00CB115C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je </w:t>
                  </w:r>
                  <w:r>
                    <w:rPr>
                      <w:sz w:val="14"/>
                      <w:szCs w:val="14"/>
                    </w:rPr>
                    <w:t>nasprotna stranka v poslu NFC</w:t>
                  </w:r>
                  <w:r w:rsidR="005205D8">
                    <w:rPr>
                      <w:sz w:val="14"/>
                      <w:szCs w:val="14"/>
                    </w:rPr>
                    <w:noBreakHyphen/>
                  </w:r>
                  <w:r>
                    <w:rPr>
                      <w:sz w:val="14"/>
                      <w:szCs w:val="1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02" type="#_x0000_t32" style="position:absolute;margin-left:39.95pt;margin-top:10.45pt;width:.35pt;height:69.95pt;z-index:251734016" o:connectortype="straight"/>
        </w:pict>
      </w:r>
      <w:r>
        <w:rPr>
          <w:noProof/>
          <w:lang w:eastAsia="sl-SI"/>
        </w:rPr>
        <w:pict>
          <v:shape id="_x0000_s1101" type="#_x0000_t32" style="position:absolute;margin-left:40.3pt;margin-top:10.45pt;width:125.9pt;height:0;flip:x;z-index:251732992" o:connectortype="straight"/>
        </w:pict>
      </w:r>
    </w:p>
    <w:p w:rsidR="00CB115C" w:rsidRDefault="00CC2D1D" w:rsidP="00CB115C">
      <w:r>
        <w:rPr>
          <w:noProof/>
          <w:lang w:eastAsia="sl-SI"/>
        </w:rPr>
        <w:pict>
          <v:shape id="_x0000_s1113" type="#_x0000_t202" style="position:absolute;margin-left:228.05pt;margin-top:11.3pt;width:23.75pt;height:8.4pt;z-index:251745280" filled="f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5" type="#_x0000_t32" style="position:absolute;margin-left:227.65pt;margin-top:10.4pt;width:.35pt;height:15.05pt;z-index:251726848" o:connectortype="straight">
            <v:stroke endarrow="block"/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091" type="#_x0000_t202" style="position:absolute;margin-left:166.2pt;margin-top:12.8pt;width:129.95pt;height:29.15pt;z-index:251722752">
            <v:textbox inset=",.57mm,,.57mm">
              <w:txbxContent>
                <w:p w:rsidR="00CB115C" w:rsidRPr="007446E7" w:rsidRDefault="00CB115C" w:rsidP="00CB115C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</w:t>
                  </w:r>
                  <w:r>
                    <w:rPr>
                      <w:sz w:val="14"/>
                      <w:szCs w:val="14"/>
                    </w:rPr>
                    <w:t>ima</w:t>
                  </w:r>
                  <w:r w:rsidRPr="007446E7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nasprotna stranka sedež v EU oziroma v ekvivalentnih državah</w:t>
                  </w:r>
                  <w:r w:rsidRPr="00EC2FF3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izven EU?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109" type="#_x0000_t202" style="position:absolute;margin-left:139.5pt;margin-top:.55pt;width:23.75pt;height:8.4pt;z-index:251741184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89" type="#_x0000_t202" style="position:absolute;margin-left:366.5pt;margin-top:.15pt;width:87.35pt;height:21.65pt;z-index:251720704">
            <v:textbox inset=",.57mm,,.57mm">
              <w:txbxContent>
                <w:p w:rsidR="00CB115C" w:rsidRPr="006C3BAA" w:rsidRDefault="00CB115C" w:rsidP="00CB115C">
                  <w:pPr>
                    <w:jc w:val="center"/>
                    <w:rPr>
                      <w:color w:val="00B050"/>
                      <w:sz w:val="14"/>
                      <w:szCs w:val="14"/>
                    </w:rPr>
                  </w:pP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izvzetje </w:t>
                  </w:r>
                  <w:r>
                    <w:rPr>
                      <w:color w:val="00B050"/>
                      <w:sz w:val="14"/>
                      <w:szCs w:val="14"/>
                    </w:rPr>
                    <w:t xml:space="preserve">iz </w:t>
                  </w:r>
                  <w:r w:rsidR="005205D8">
                    <w:rPr>
                      <w:color w:val="00B050"/>
                      <w:sz w:val="14"/>
                      <w:szCs w:val="14"/>
                    </w:rPr>
                    <w:t>obveznosti</w:t>
                  </w:r>
                  <w:r>
                    <w:rPr>
                      <w:color w:val="00B050"/>
                      <w:sz w:val="14"/>
                      <w:szCs w:val="14"/>
                    </w:rPr>
                    <w:t xml:space="preserve"> </w:t>
                  </w:r>
                  <w:r w:rsidR="005205D8">
                    <w:rPr>
                      <w:color w:val="00B050"/>
                      <w:sz w:val="14"/>
                      <w:szCs w:val="14"/>
                    </w:rPr>
                    <w:t>poročanja</w:t>
                  </w:r>
                  <w:r w:rsidRPr="006C3BAA">
                    <w:rPr>
                      <w:color w:val="00B050"/>
                      <w:sz w:val="14"/>
                      <w:szCs w:val="14"/>
                    </w:rPr>
                    <w:t xml:space="preserve"> je možno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100" type="#_x0000_t32" style="position:absolute;margin-left:413.55pt;margin-top:9.15pt;width:.05pt;height:149.95pt;flip:y;z-index:25173196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105" type="#_x0000_t32" style="position:absolute;margin-left:40.6pt;margin-top:.6pt;width:125.9pt;height:0;flip:x;z-index:251737088" o:connectortype="straight"/>
        </w:pict>
      </w:r>
    </w:p>
    <w:p w:rsidR="00CB115C" w:rsidRDefault="00CC2D1D" w:rsidP="00CB115C">
      <w:r>
        <w:rPr>
          <w:noProof/>
          <w:lang w:eastAsia="sl-SI"/>
        </w:rPr>
        <w:pict>
          <v:shape id="_x0000_s1114" type="#_x0000_t202" style="position:absolute;margin-left:227.6pt;margin-top:4.55pt;width:23.75pt;height:8.4pt;z-index:251746304" filled="f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9" type="#_x0000_t32" style="position:absolute;margin-left:227.3pt;margin-top:4pt;width:.35pt;height:12.45pt;z-index:251730944" o:connectortype="straight">
            <v:stroke endarrow="block"/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092" type="#_x0000_t202" style="position:absolute;margin-left:166.2pt;margin-top:4.5pt;width:129.95pt;height:21.65pt;z-index:251723776">
            <v:textbox inset=",.57mm,,.57mm">
              <w:txbxContent>
                <w:p w:rsidR="00CB115C" w:rsidRPr="007446E7" w:rsidRDefault="00CB115C" w:rsidP="00CB115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obe nasprotni stranki pripadata isti skupini?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6" type="#_x0000_t32" style="position:absolute;margin-left:39.95pt;margin-top:4.5pt;width:.35pt;height:117.45pt;flip:x;z-index:251727872" o:connectortype="straight">
            <v:stroke endarrow="block"/>
          </v:shape>
        </w:pict>
      </w:r>
      <w:r>
        <w:rPr>
          <w:noProof/>
          <w:lang w:eastAsia="sl-SI"/>
        </w:rPr>
        <w:pict>
          <v:shape id="_x0000_s1110" type="#_x0000_t202" style="position:absolute;margin-left:139.5pt;margin-top:1.2pt;width:23.75pt;height:8.4pt;z-index:251742208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106" type="#_x0000_t32" style="position:absolute;margin-left:40.6pt;margin-top:1.15pt;width:125.9pt;height:0;flip:x;z-index:251738112" o:connectortype="straight"/>
        </w:pict>
      </w:r>
    </w:p>
    <w:p w:rsidR="00CB115C" w:rsidRDefault="00CC2D1D" w:rsidP="00CB115C">
      <w:r>
        <w:rPr>
          <w:noProof/>
          <w:lang w:eastAsia="sl-SI"/>
        </w:rPr>
        <w:pict>
          <v:shape id="_x0000_s1115" type="#_x0000_t202" style="position:absolute;margin-left:228.5pt;margin-top:.85pt;width:23.75pt;height:8.4pt;z-index:251747328" filled="f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98" type="#_x0000_t32" style="position:absolute;margin-left:226.95pt;margin-top:1.9pt;width:.35pt;height:15.05pt;z-index:251729920" o:connectortype="straight">
            <v:stroke endarrow="block"/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093" type="#_x0000_t202" style="position:absolute;margin-left:166.2pt;margin-top:4.3pt;width:129.95pt;height:21.65pt;z-index:251724800">
            <v:textbox inset=",.57mm,,.57mm">
              <w:txbxContent>
                <w:p w:rsidR="00CB115C" w:rsidRPr="007446E7" w:rsidRDefault="00CB115C" w:rsidP="00CB115C">
                  <w:pPr>
                    <w:jc w:val="center"/>
                    <w:rPr>
                      <w:sz w:val="14"/>
                      <w:szCs w:val="14"/>
                    </w:rPr>
                  </w:pPr>
                  <w:r w:rsidRPr="007446E7">
                    <w:rPr>
                      <w:sz w:val="14"/>
                      <w:szCs w:val="14"/>
                    </w:rPr>
                    <w:t xml:space="preserve">Ali </w:t>
                  </w:r>
                  <w:r>
                    <w:rPr>
                      <w:sz w:val="14"/>
                      <w:szCs w:val="14"/>
                    </w:rPr>
                    <w:t>sta obe nasprotni stranki vključeni v isto konsolidirano poročilo?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11" type="#_x0000_t202" style="position:absolute;margin-left:139.5pt;margin-top:1.25pt;width:23.75pt;height:8.4pt;z-index:251743232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104" type="#_x0000_t32" style="position:absolute;margin-left:40.6pt;margin-top:1.35pt;width:125.9pt;height:0;flip:x;z-index:251736064" o:connectortype="straight"/>
        </w:pict>
      </w:r>
    </w:p>
    <w:p w:rsidR="00CB115C" w:rsidRDefault="00CC2D1D" w:rsidP="00CB115C">
      <w:r>
        <w:rPr>
          <w:noProof/>
          <w:lang w:eastAsia="sl-SI"/>
        </w:rPr>
        <w:pict>
          <v:shape id="_x0000_s1097" type="#_x0000_t32" style="position:absolute;margin-left:227.85pt;margin-top:.65pt;width:0;height:14.35pt;z-index:25172889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116" type="#_x0000_t202" style="position:absolute;margin-left:230.3pt;margin-top:2pt;width:23.75pt;height:8.4pt;z-index:251748352" filled="f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lang w:eastAsia="sl-SI"/>
        </w:rPr>
        <w:pict>
          <v:shape id="_x0000_s1094" type="#_x0000_t202" style="position:absolute;margin-left:166.2pt;margin-top:2pt;width:129.95pt;height:28.95pt;z-index:251725824">
            <v:textbox inset=",.57mm,,.57mm">
              <w:txbxContent>
                <w:p w:rsidR="00CB115C" w:rsidRPr="007446E7" w:rsidRDefault="00CB115C" w:rsidP="00CB115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Ali imata obe nasprotni stranki vzpostavljen ustrezen centraliziran sistem upravljanja tveganj?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112" type="#_x0000_t202" style="position:absolute;margin-left:139.5pt;margin-top:2.35pt;width:23.75pt;height:8.4pt;z-index:251744256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</w:p>
    <w:p w:rsidR="00CB115C" w:rsidRDefault="00CC2D1D" w:rsidP="00CB115C">
      <w:r>
        <w:rPr>
          <w:noProof/>
          <w:sz w:val="18"/>
          <w:szCs w:val="18"/>
          <w:lang w:eastAsia="sl-SI"/>
        </w:rPr>
        <w:pict>
          <v:shape id="_x0000_s1119" type="#_x0000_t32" style="position:absolute;margin-left:40.6pt;margin-top:.65pt;width:125.9pt;height:0;flip:x;z-index:251751424" o:connectortype="straight"/>
        </w:pict>
      </w:r>
    </w:p>
    <w:p w:rsidR="00CB115C" w:rsidRDefault="00CC2D1D" w:rsidP="00CB115C">
      <w:r>
        <w:rPr>
          <w:noProof/>
          <w:lang w:eastAsia="sl-SI"/>
        </w:rPr>
        <w:pict>
          <v:shape id="_x0000_s1117" type="#_x0000_t202" style="position:absolute;margin-left:227.55pt;margin-top:6.65pt;width:23.75pt;height:8.4pt;z-index:251749376" stroked="f">
            <v:textbox inset=",.57mm,,.57mm">
              <w:txbxContent>
                <w:p w:rsidR="00CB115C" w:rsidRPr="00D20A11" w:rsidRDefault="00CB115C" w:rsidP="00CB115C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sl-SI"/>
        </w:rPr>
        <w:pict>
          <v:shape id="_x0000_s1121" type="#_x0000_t32" style="position:absolute;margin-left:229.95pt;margin-top:5.5pt;width:.35pt;height:15.05pt;z-index:251753472" o:connectortype="straight">
            <v:stroke endarrow="block"/>
          </v:shape>
        </w:pict>
      </w:r>
    </w:p>
    <w:p w:rsidR="00CB115C" w:rsidRDefault="00CC2D1D" w:rsidP="00CB115C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pict>
          <v:shape id="_x0000_s1122" type="#_x0000_t202" style="position:absolute;left:0;text-align:left;margin-left:302.65pt;margin-top:8.1pt;width:23.75pt;height:8.4pt;z-index:251754496" stroked="f">
            <v:textbox inset=",.57mm,,.57mm">
              <w:txbxContent>
                <w:p w:rsidR="007B1D9B" w:rsidRPr="00D20A11" w:rsidRDefault="007B1D9B" w:rsidP="007B1D9B">
                  <w:pPr>
                    <w:rPr>
                      <w:sz w:val="10"/>
                      <w:szCs w:val="10"/>
                    </w:rPr>
                  </w:pPr>
                  <w:r w:rsidRPr="00D20A11">
                    <w:rPr>
                      <w:sz w:val="10"/>
                      <w:szCs w:val="10"/>
                    </w:rPr>
                    <w:t>DA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sl-SI"/>
        </w:rPr>
        <w:pict>
          <v:shape id="_x0000_s1118" type="#_x0000_t202" style="position:absolute;left:0;text-align:left;margin-left:166.2pt;margin-top:8.1pt;width:129.95pt;height:21.65pt;z-index:251750400;v-text-anchor:middle">
            <v:textbox inset=",.57mm,,.57mm">
              <w:txbxContent>
                <w:p w:rsidR="005205D8" w:rsidRPr="007446E7" w:rsidRDefault="005205D8" w:rsidP="005205D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Ali </w:t>
                  </w:r>
                  <w:r w:rsidR="00077039">
                    <w:rPr>
                      <w:sz w:val="14"/>
                      <w:szCs w:val="14"/>
                    </w:rPr>
                    <w:t xml:space="preserve">je izpolnjen pogoj, da </w:t>
                  </w:r>
                  <w:r w:rsidRPr="005205D8">
                    <w:rPr>
                      <w:sz w:val="14"/>
                      <w:szCs w:val="14"/>
                    </w:rPr>
                    <w:t xml:space="preserve">nadrejeno podjetje ni </w:t>
                  </w:r>
                  <w:r>
                    <w:rPr>
                      <w:sz w:val="14"/>
                      <w:szCs w:val="14"/>
                    </w:rPr>
                    <w:t>FC?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sl-SI"/>
        </w:rPr>
        <w:pict>
          <v:shape id="_x0000_s1120" type="#_x0000_t202" style="position:absolute;left:0;text-align:left;margin-left:139.25pt;margin-top:8.1pt;width:23.75pt;height:8.4pt;z-index:251752448" stroked="f">
            <v:textbox inset=",.57mm,,.57mm">
              <w:txbxContent>
                <w:p w:rsidR="005205D8" w:rsidRPr="00D20A11" w:rsidRDefault="005205D8" w:rsidP="005205D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88" type="#_x0000_t202" style="position:absolute;left:0;text-align:left;margin-left:-5.6pt;margin-top:8.1pt;width:87.35pt;height:21.65pt;z-index:251719680">
            <v:textbox inset=",.57mm,,.57mm">
              <w:txbxContent>
                <w:p w:rsidR="00CB115C" w:rsidRPr="006C3BAA" w:rsidRDefault="00CB115C" w:rsidP="00CB115C">
                  <w:pPr>
                    <w:jc w:val="center"/>
                    <w:rPr>
                      <w:color w:val="FF0000"/>
                      <w:sz w:val="14"/>
                      <w:szCs w:val="14"/>
                    </w:rPr>
                  </w:pP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izvzetje </w:t>
                  </w:r>
                  <w:r>
                    <w:rPr>
                      <w:color w:val="FF0000"/>
                      <w:sz w:val="14"/>
                      <w:szCs w:val="14"/>
                    </w:rPr>
                    <w:t>iz</w:t>
                  </w: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 izmenjave </w:t>
                  </w:r>
                  <w:r>
                    <w:rPr>
                      <w:color w:val="FF0000"/>
                      <w:sz w:val="14"/>
                      <w:szCs w:val="14"/>
                    </w:rPr>
                    <w:t>kliringa</w:t>
                  </w:r>
                  <w:r w:rsidRPr="006C3BAA">
                    <w:rPr>
                      <w:color w:val="FF0000"/>
                      <w:sz w:val="14"/>
                      <w:szCs w:val="14"/>
                    </w:rPr>
                    <w:t xml:space="preserve"> ni možno</w:t>
                  </w:r>
                </w:p>
              </w:txbxContent>
            </v:textbox>
          </v:shape>
        </w:pict>
      </w:r>
    </w:p>
    <w:p w:rsidR="005205D8" w:rsidRDefault="00CC2D1D" w:rsidP="00CB115C">
      <w:pPr>
        <w:jc w:val="both"/>
        <w:rPr>
          <w:sz w:val="18"/>
          <w:szCs w:val="18"/>
        </w:rPr>
      </w:pPr>
      <w:r>
        <w:rPr>
          <w:noProof/>
          <w:lang w:eastAsia="sl-SI"/>
        </w:rPr>
        <w:pict>
          <v:shape id="_x0000_s1107" type="#_x0000_t32" style="position:absolute;left:0;text-align:left;margin-left:81.75pt;margin-top:9.6pt;width:84.75pt;height:.05pt;flip:x;z-index:25173913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103" type="#_x0000_t32" style="position:absolute;left:0;text-align:left;margin-left:292.2pt;margin-top:9.6pt;width:121.35pt;height:0;z-index:251735040" o:connectortype="straight"/>
        </w:pict>
      </w:r>
    </w:p>
    <w:p w:rsidR="005205D8" w:rsidRDefault="005205D8" w:rsidP="00CB115C">
      <w:pPr>
        <w:jc w:val="both"/>
        <w:rPr>
          <w:sz w:val="18"/>
          <w:szCs w:val="18"/>
        </w:rPr>
      </w:pPr>
    </w:p>
    <w:p w:rsidR="005205D8" w:rsidRDefault="005205D8" w:rsidP="00CB115C">
      <w:pPr>
        <w:jc w:val="both"/>
        <w:rPr>
          <w:sz w:val="18"/>
          <w:szCs w:val="18"/>
        </w:rPr>
      </w:pPr>
    </w:p>
    <w:p w:rsidR="005205D8" w:rsidRDefault="005205D8" w:rsidP="00CB115C">
      <w:pPr>
        <w:jc w:val="both"/>
        <w:rPr>
          <w:sz w:val="18"/>
          <w:szCs w:val="18"/>
        </w:rPr>
      </w:pPr>
    </w:p>
    <w:p w:rsidR="005205D8" w:rsidRPr="00361472" w:rsidRDefault="005205D8" w:rsidP="00CB115C">
      <w:pPr>
        <w:jc w:val="both"/>
        <w:rPr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B115C" w:rsidRPr="001B0964" w:rsidTr="00CB115C">
        <w:tc>
          <w:tcPr>
            <w:tcW w:w="9180" w:type="dxa"/>
            <w:vAlign w:val="center"/>
          </w:tcPr>
          <w:p w:rsidR="00CB115C" w:rsidRPr="001B0964" w:rsidRDefault="00CB115C" w:rsidP="0022621B">
            <w:pPr>
              <w:jc w:val="center"/>
              <w:rPr>
                <w:i/>
                <w:sz w:val="20"/>
                <w:szCs w:val="20"/>
              </w:rPr>
            </w:pPr>
            <w:r w:rsidRPr="001B0964">
              <w:rPr>
                <w:i/>
                <w:sz w:val="20"/>
                <w:szCs w:val="20"/>
              </w:rPr>
              <w:t>Postope</w:t>
            </w:r>
            <w:r>
              <w:rPr>
                <w:i/>
                <w:sz w:val="20"/>
                <w:szCs w:val="20"/>
              </w:rPr>
              <w:t>k</w:t>
            </w:r>
          </w:p>
        </w:tc>
      </w:tr>
      <w:tr w:rsidR="00CB115C" w:rsidRPr="001B0964" w:rsidTr="00CB115C">
        <w:tc>
          <w:tcPr>
            <w:tcW w:w="9180" w:type="dxa"/>
            <w:vAlign w:val="center"/>
          </w:tcPr>
          <w:p w:rsidR="00CB115C" w:rsidRPr="001B0964" w:rsidRDefault="00CB115C" w:rsidP="0022621B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uradno obvestilo</w:t>
            </w:r>
            <w:r w:rsidRPr="001B0964">
              <w:rPr>
                <w:sz w:val="20"/>
                <w:szCs w:val="20"/>
              </w:rPr>
              <w:t>;</w:t>
            </w:r>
          </w:p>
          <w:p w:rsidR="00CB115C" w:rsidRPr="00CB115C" w:rsidRDefault="00CB115C" w:rsidP="00CB115C">
            <w:pPr>
              <w:pStyle w:val="Odstavekseznam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pristojni organ lahko nasprotuje izvzetju v roku treh mesecev od prejema uradnega obvestila;</w:t>
            </w:r>
          </w:p>
        </w:tc>
      </w:tr>
    </w:tbl>
    <w:p w:rsidR="00CB115C" w:rsidRDefault="00CB115C" w:rsidP="00CB115C">
      <w:pPr>
        <w:rPr>
          <w:b/>
        </w:rPr>
      </w:pPr>
    </w:p>
    <w:p w:rsidR="00CB115C" w:rsidRDefault="00CB115C" w:rsidP="00CB115C">
      <w:pPr>
        <w:jc w:val="both"/>
        <w:rPr>
          <w:b/>
        </w:rPr>
      </w:pPr>
      <w:r>
        <w:rPr>
          <w:b/>
        </w:rPr>
        <w:t>Dokumentacija, ki jo mora predložiti FC pri oddaji uradnega obvestila oziroma vloge za izvzetje (3. člen EMIR):</w:t>
      </w:r>
    </w:p>
    <w:p w:rsidR="00CB115C" w:rsidRDefault="00CB115C" w:rsidP="00CB115C">
      <w:pPr>
        <w:pStyle w:val="Odstavekseznama"/>
        <w:numPr>
          <w:ilvl w:val="0"/>
          <w:numId w:val="3"/>
        </w:numPr>
      </w:pPr>
      <w:r>
        <w:t>ime, sedež in identifikator FC v skladu s 3. členom ITS 1247/2012 in ITS 2017/105 (LEI);</w:t>
      </w:r>
    </w:p>
    <w:p w:rsidR="00CB115C" w:rsidRDefault="00CB115C" w:rsidP="00CB115C">
      <w:pPr>
        <w:pStyle w:val="Odstavekseznama"/>
        <w:numPr>
          <w:ilvl w:val="0"/>
          <w:numId w:val="3"/>
        </w:numPr>
      </w:pPr>
      <w:r>
        <w:t>ime, sedež in LEI nasprotne stranke v transakcijah;</w:t>
      </w:r>
    </w:p>
    <w:p w:rsidR="00CB115C" w:rsidRDefault="00CB115C" w:rsidP="00CB115C">
      <w:pPr>
        <w:pStyle w:val="Odstavekseznama"/>
        <w:numPr>
          <w:ilvl w:val="0"/>
          <w:numId w:val="3"/>
        </w:numPr>
      </w:pPr>
      <w:r>
        <w:t>navedbo korporacijskega odnosa med nasprotnima strankama ter dokazilo, da sta nasprotni stranki vključeni v isto konsolidirano poročilo skladno z določbami 3. odstavka 3. člena EMIR;</w:t>
      </w:r>
    </w:p>
    <w:p w:rsidR="00CB115C" w:rsidRDefault="00CB115C" w:rsidP="00CB115C">
      <w:pPr>
        <w:pStyle w:val="Odstavekseznama"/>
        <w:numPr>
          <w:ilvl w:val="0"/>
          <w:numId w:val="3"/>
        </w:numPr>
        <w:jc w:val="both"/>
      </w:pPr>
      <w:r>
        <w:t xml:space="preserve">opis, s katerim nasprotni stranki dokazujeta, da imata vzpostavljen ustrezen centraliziran sistem upravljanja tveganj </w:t>
      </w:r>
      <w:r w:rsidRPr="00D14525">
        <w:t>za</w:t>
      </w:r>
      <w:r>
        <w:t xml:space="preserve"> njihovo</w:t>
      </w:r>
      <w:r w:rsidRPr="00D14525">
        <w:t xml:space="preserve"> ugotavljanje, merjenje</w:t>
      </w:r>
      <w:r>
        <w:t xml:space="preserve">, </w:t>
      </w:r>
      <w:r w:rsidRPr="00D14525">
        <w:t xml:space="preserve">ocenjevanje, obvladovanje </w:t>
      </w:r>
      <w:r>
        <w:t>in</w:t>
      </w:r>
      <w:r w:rsidRPr="00D14525">
        <w:t xml:space="preserve"> spremljanje</w:t>
      </w:r>
      <w:r>
        <w:t>, vključno</w:t>
      </w:r>
      <w:r w:rsidRPr="00D14525">
        <w:t xml:space="preserve"> </w:t>
      </w:r>
      <w:r>
        <w:t>s primernimi mehanizmi notranjih kontrol, in sicer z navedbo naslednjega:</w:t>
      </w:r>
    </w:p>
    <w:p w:rsidR="00CB115C" w:rsidRDefault="00CB115C" w:rsidP="00CB115C">
      <w:pPr>
        <w:pStyle w:val="Odstavekseznama"/>
        <w:numPr>
          <w:ilvl w:val="1"/>
          <w:numId w:val="3"/>
        </w:numPr>
        <w:jc w:val="both"/>
      </w:pPr>
      <w:r>
        <w:t>opis politike upravljanja tveganj in notranjih kontrol s poudarkom na prikazu njihove centraliziranosti;</w:t>
      </w:r>
    </w:p>
    <w:p w:rsidR="00CB115C" w:rsidRDefault="00CB115C" w:rsidP="00CB115C">
      <w:pPr>
        <w:pStyle w:val="Odstavekseznama"/>
        <w:numPr>
          <w:ilvl w:val="1"/>
          <w:numId w:val="3"/>
        </w:numPr>
        <w:jc w:val="both"/>
      </w:pPr>
      <w:r>
        <w:t>opis odgovornosti za upravljanje tveganj s strani višjega vodstva, vključno s pregledom in zagotavljanjem ažurnosti tehnik merjenja tveganj;</w:t>
      </w:r>
    </w:p>
    <w:p w:rsidR="00CB115C" w:rsidRDefault="00CB115C" w:rsidP="00CB115C">
      <w:pPr>
        <w:pStyle w:val="Odstavekseznama"/>
        <w:numPr>
          <w:ilvl w:val="1"/>
          <w:numId w:val="3"/>
        </w:numPr>
        <w:jc w:val="both"/>
      </w:pPr>
      <w:r>
        <w:t>opis mehanizmov poročanja z namenom seznanitve upravljalnega organa, višjega vodstva, poslovnih linij, upravljavcev tveganj in ostalih kontrolnih funkcij z informacijami o merjenju, analizi in spremljanju tveganj;</w:t>
      </w:r>
    </w:p>
    <w:p w:rsidR="00CB115C" w:rsidRDefault="00CB115C" w:rsidP="00CB115C">
      <w:pPr>
        <w:pStyle w:val="Odstavekseznama"/>
        <w:numPr>
          <w:ilvl w:val="1"/>
          <w:numId w:val="3"/>
        </w:numPr>
        <w:jc w:val="both"/>
      </w:pPr>
      <w:r>
        <w:t>opis zagotavljanja skladnosti in zanesljivosti internih procesov in informacijskih sistemov z namenom ugotavljanja, ocenjevanja, merjenja in spremljanja ter obvladovanja vseh virov relevantnih tveganj na agregatni ravni ter na ravni posamezne osebe, poslovne linije in portfelja;</w:t>
      </w:r>
    </w:p>
    <w:p w:rsidR="00CB115C" w:rsidRPr="00271F67" w:rsidRDefault="00CB115C" w:rsidP="00CB115C">
      <w:pPr>
        <w:pStyle w:val="Odstavekseznama"/>
        <w:numPr>
          <w:ilvl w:val="1"/>
          <w:numId w:val="3"/>
        </w:numPr>
        <w:jc w:val="both"/>
      </w:pPr>
      <w:r>
        <w:t>opis načina poročanja ključnih informacij v zvezi s tveganji centralni funkciji upravljanja s tveganji z namenom ustreznega centraliziranega ugotavljanja, ocenjevanja, merjenja in spremljanja ter obvladovanja tveganj v zvezi z relevantnimi skupinami oseb;</w:t>
      </w:r>
    </w:p>
    <w:p w:rsidR="00CB115C" w:rsidRDefault="00CB115C" w:rsidP="00CB115C">
      <w:pPr>
        <w:pStyle w:val="Odstavekseznama"/>
        <w:numPr>
          <w:ilvl w:val="0"/>
          <w:numId w:val="3"/>
        </w:numPr>
      </w:pPr>
      <w:r>
        <w:t xml:space="preserve">dokazilo o plačilu takse. </w:t>
      </w:r>
    </w:p>
    <w:p w:rsidR="00BE7EED" w:rsidRPr="002E5AB3" w:rsidRDefault="00BE7EED" w:rsidP="00CB115C">
      <w:pPr>
        <w:pStyle w:val="Odstavekseznama"/>
        <w:ind w:left="360"/>
        <w:jc w:val="both"/>
        <w:rPr>
          <w:sz w:val="20"/>
          <w:szCs w:val="20"/>
        </w:rPr>
      </w:pPr>
    </w:p>
    <w:sectPr w:rsidR="00BE7EED" w:rsidRPr="002E5AB3" w:rsidSect="001A3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9C" w:rsidRDefault="0033679C" w:rsidP="0033679C">
      <w:r>
        <w:separator/>
      </w:r>
    </w:p>
  </w:endnote>
  <w:endnote w:type="continuationSeparator" w:id="0">
    <w:p w:rsidR="0033679C" w:rsidRDefault="0033679C" w:rsidP="0033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998848"/>
      <w:docPartObj>
        <w:docPartGallery w:val="Page Numbers (Bottom of Page)"/>
        <w:docPartUnique/>
      </w:docPartObj>
    </w:sdtPr>
    <w:sdtEndPr/>
    <w:sdtContent>
      <w:p w:rsidR="0033679C" w:rsidRDefault="0033679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1D">
          <w:rPr>
            <w:noProof/>
          </w:rPr>
          <w:t>4</w:t>
        </w:r>
        <w:r>
          <w:fldChar w:fldCharType="end"/>
        </w:r>
      </w:p>
    </w:sdtContent>
  </w:sdt>
  <w:p w:rsidR="0033679C" w:rsidRDefault="003367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9C" w:rsidRDefault="0033679C" w:rsidP="0033679C">
      <w:r>
        <w:separator/>
      </w:r>
    </w:p>
  </w:footnote>
  <w:footnote w:type="continuationSeparator" w:id="0">
    <w:p w:rsidR="0033679C" w:rsidRDefault="0033679C" w:rsidP="0033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010"/>
    <w:multiLevelType w:val="hybridMultilevel"/>
    <w:tmpl w:val="87E000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42579"/>
    <w:multiLevelType w:val="hybridMultilevel"/>
    <w:tmpl w:val="BACCA3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476D3"/>
    <w:multiLevelType w:val="hybridMultilevel"/>
    <w:tmpl w:val="75909F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44ECA"/>
    <w:multiLevelType w:val="hybridMultilevel"/>
    <w:tmpl w:val="AFCEF2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6"/>
    <w:rsid w:val="00027ED8"/>
    <w:rsid w:val="00033CE6"/>
    <w:rsid w:val="00036C8A"/>
    <w:rsid w:val="00046536"/>
    <w:rsid w:val="00077039"/>
    <w:rsid w:val="000854F5"/>
    <w:rsid w:val="000A13A0"/>
    <w:rsid w:val="000A6706"/>
    <w:rsid w:val="000D37D7"/>
    <w:rsid w:val="000E03F3"/>
    <w:rsid w:val="00102C76"/>
    <w:rsid w:val="0010518A"/>
    <w:rsid w:val="0011359D"/>
    <w:rsid w:val="00134398"/>
    <w:rsid w:val="0014629D"/>
    <w:rsid w:val="0015302F"/>
    <w:rsid w:val="00166D59"/>
    <w:rsid w:val="001727A3"/>
    <w:rsid w:val="00174C48"/>
    <w:rsid w:val="001818B4"/>
    <w:rsid w:val="001915C6"/>
    <w:rsid w:val="001978CB"/>
    <w:rsid w:val="001A3A71"/>
    <w:rsid w:val="001B0964"/>
    <w:rsid w:val="001B4E16"/>
    <w:rsid w:val="001C2E02"/>
    <w:rsid w:val="001D516A"/>
    <w:rsid w:val="001F58E3"/>
    <w:rsid w:val="001F75AA"/>
    <w:rsid w:val="0021271B"/>
    <w:rsid w:val="0021770D"/>
    <w:rsid w:val="002227AF"/>
    <w:rsid w:val="002455B2"/>
    <w:rsid w:val="00266520"/>
    <w:rsid w:val="00271F67"/>
    <w:rsid w:val="002C2467"/>
    <w:rsid w:val="002D0090"/>
    <w:rsid w:val="002E5AB3"/>
    <w:rsid w:val="002F5CD9"/>
    <w:rsid w:val="00301D4F"/>
    <w:rsid w:val="0030523C"/>
    <w:rsid w:val="003073F1"/>
    <w:rsid w:val="00310198"/>
    <w:rsid w:val="003230B7"/>
    <w:rsid w:val="0033465C"/>
    <w:rsid w:val="0033679C"/>
    <w:rsid w:val="0034399B"/>
    <w:rsid w:val="003445DE"/>
    <w:rsid w:val="00345CA5"/>
    <w:rsid w:val="00351F33"/>
    <w:rsid w:val="00357C8B"/>
    <w:rsid w:val="00361472"/>
    <w:rsid w:val="00362B5D"/>
    <w:rsid w:val="00365503"/>
    <w:rsid w:val="00367C39"/>
    <w:rsid w:val="003861A7"/>
    <w:rsid w:val="00396303"/>
    <w:rsid w:val="003963AE"/>
    <w:rsid w:val="003B4962"/>
    <w:rsid w:val="003C5663"/>
    <w:rsid w:val="003C76BA"/>
    <w:rsid w:val="003F34FC"/>
    <w:rsid w:val="00412F7E"/>
    <w:rsid w:val="00423F18"/>
    <w:rsid w:val="0048657B"/>
    <w:rsid w:val="00494AD8"/>
    <w:rsid w:val="004A10ED"/>
    <w:rsid w:val="004A25DE"/>
    <w:rsid w:val="004A6A0C"/>
    <w:rsid w:val="004C0C2D"/>
    <w:rsid w:val="004C5A33"/>
    <w:rsid w:val="004D1B27"/>
    <w:rsid w:val="004D73E9"/>
    <w:rsid w:val="004E2EA1"/>
    <w:rsid w:val="004E313E"/>
    <w:rsid w:val="004E6BEE"/>
    <w:rsid w:val="005205D8"/>
    <w:rsid w:val="00534FC8"/>
    <w:rsid w:val="00582CB4"/>
    <w:rsid w:val="0059095A"/>
    <w:rsid w:val="005C37C2"/>
    <w:rsid w:val="005C55A4"/>
    <w:rsid w:val="005E38D8"/>
    <w:rsid w:val="005E3B45"/>
    <w:rsid w:val="005F3728"/>
    <w:rsid w:val="00606D4C"/>
    <w:rsid w:val="006205BC"/>
    <w:rsid w:val="0063409C"/>
    <w:rsid w:val="0065308C"/>
    <w:rsid w:val="00663BD7"/>
    <w:rsid w:val="00673784"/>
    <w:rsid w:val="006759AD"/>
    <w:rsid w:val="006906D7"/>
    <w:rsid w:val="006B1C8B"/>
    <w:rsid w:val="006C0989"/>
    <w:rsid w:val="006C3BAA"/>
    <w:rsid w:val="006D16A0"/>
    <w:rsid w:val="006D4F9B"/>
    <w:rsid w:val="00716BEF"/>
    <w:rsid w:val="00733E79"/>
    <w:rsid w:val="00740225"/>
    <w:rsid w:val="007446E7"/>
    <w:rsid w:val="00771A0B"/>
    <w:rsid w:val="007807A4"/>
    <w:rsid w:val="007B1D9B"/>
    <w:rsid w:val="007C0136"/>
    <w:rsid w:val="007C46C8"/>
    <w:rsid w:val="007C62F2"/>
    <w:rsid w:val="007D27B6"/>
    <w:rsid w:val="007E165D"/>
    <w:rsid w:val="00814D21"/>
    <w:rsid w:val="00815CCD"/>
    <w:rsid w:val="00822ED8"/>
    <w:rsid w:val="00830196"/>
    <w:rsid w:val="0085028D"/>
    <w:rsid w:val="00855832"/>
    <w:rsid w:val="0088185A"/>
    <w:rsid w:val="008938F0"/>
    <w:rsid w:val="00894099"/>
    <w:rsid w:val="008C624C"/>
    <w:rsid w:val="008E08E1"/>
    <w:rsid w:val="008F3555"/>
    <w:rsid w:val="008F5E3F"/>
    <w:rsid w:val="009340AB"/>
    <w:rsid w:val="0093466E"/>
    <w:rsid w:val="009464E0"/>
    <w:rsid w:val="0098387C"/>
    <w:rsid w:val="00993BA2"/>
    <w:rsid w:val="009D547A"/>
    <w:rsid w:val="009E78AC"/>
    <w:rsid w:val="00A16933"/>
    <w:rsid w:val="00A16EC4"/>
    <w:rsid w:val="00A17C3C"/>
    <w:rsid w:val="00A27CE2"/>
    <w:rsid w:val="00A36CD4"/>
    <w:rsid w:val="00A6365B"/>
    <w:rsid w:val="00AA5662"/>
    <w:rsid w:val="00AC15B3"/>
    <w:rsid w:val="00AE118B"/>
    <w:rsid w:val="00AE1AE6"/>
    <w:rsid w:val="00B03F95"/>
    <w:rsid w:val="00B06177"/>
    <w:rsid w:val="00B074B3"/>
    <w:rsid w:val="00B308E6"/>
    <w:rsid w:val="00B4131B"/>
    <w:rsid w:val="00B53DE4"/>
    <w:rsid w:val="00B605AA"/>
    <w:rsid w:val="00B86206"/>
    <w:rsid w:val="00B862E8"/>
    <w:rsid w:val="00B864F5"/>
    <w:rsid w:val="00B87EEE"/>
    <w:rsid w:val="00BA2718"/>
    <w:rsid w:val="00BE3F22"/>
    <w:rsid w:val="00BE7EED"/>
    <w:rsid w:val="00BF46D5"/>
    <w:rsid w:val="00C171B2"/>
    <w:rsid w:val="00C301CB"/>
    <w:rsid w:val="00C709CD"/>
    <w:rsid w:val="00C74343"/>
    <w:rsid w:val="00C808B2"/>
    <w:rsid w:val="00C84932"/>
    <w:rsid w:val="00C92473"/>
    <w:rsid w:val="00CA48A2"/>
    <w:rsid w:val="00CB115C"/>
    <w:rsid w:val="00CC0462"/>
    <w:rsid w:val="00CC2D1D"/>
    <w:rsid w:val="00CC7396"/>
    <w:rsid w:val="00CE3E99"/>
    <w:rsid w:val="00CE6876"/>
    <w:rsid w:val="00CF02E7"/>
    <w:rsid w:val="00D0108A"/>
    <w:rsid w:val="00D14525"/>
    <w:rsid w:val="00D20A11"/>
    <w:rsid w:val="00D437CD"/>
    <w:rsid w:val="00D54F35"/>
    <w:rsid w:val="00D83128"/>
    <w:rsid w:val="00DA1E67"/>
    <w:rsid w:val="00DA42B4"/>
    <w:rsid w:val="00DB1523"/>
    <w:rsid w:val="00DB6379"/>
    <w:rsid w:val="00DE02AC"/>
    <w:rsid w:val="00E05BB1"/>
    <w:rsid w:val="00E223AB"/>
    <w:rsid w:val="00E3754C"/>
    <w:rsid w:val="00E47882"/>
    <w:rsid w:val="00E539FF"/>
    <w:rsid w:val="00E5484C"/>
    <w:rsid w:val="00E74BC3"/>
    <w:rsid w:val="00E9267B"/>
    <w:rsid w:val="00EA0866"/>
    <w:rsid w:val="00EC2FF3"/>
    <w:rsid w:val="00EF1619"/>
    <w:rsid w:val="00EF3161"/>
    <w:rsid w:val="00EF6575"/>
    <w:rsid w:val="00F145EF"/>
    <w:rsid w:val="00F244CD"/>
    <w:rsid w:val="00F25A6C"/>
    <w:rsid w:val="00F26F3C"/>
    <w:rsid w:val="00F31DCA"/>
    <w:rsid w:val="00F34B8B"/>
    <w:rsid w:val="00F3592E"/>
    <w:rsid w:val="00F42067"/>
    <w:rsid w:val="00F47587"/>
    <w:rsid w:val="00F73BEC"/>
    <w:rsid w:val="00F75522"/>
    <w:rsid w:val="00F763CC"/>
    <w:rsid w:val="00F80605"/>
    <w:rsid w:val="00FB00EE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fillcolor="none" strokecolor="none"/>
    </o:shapedefaults>
    <o:shapelayout v:ext="edit">
      <o:idmap v:ext="edit" data="1"/>
      <o:rules v:ext="edit">
        <o:r id="V:Rule41" type="connector" idref="#_x0000_s1121"/>
        <o:r id="V:Rule42" type="connector" idref="#_x0000_s1100"/>
        <o:r id="V:Rule43" type="connector" idref="#_x0000_s1068"/>
        <o:r id="V:Rule44" type="connector" idref="#_x0000_s1070"/>
        <o:r id="V:Rule45" type="connector" idref="#_x0000_s1037"/>
        <o:r id="V:Rule46" type="connector" idref="#_x0000_s1105"/>
        <o:r id="V:Rule47" type="connector" idref="#_x0000_s1098"/>
        <o:r id="V:Rule48" type="connector" idref="#_x0000_s1097"/>
        <o:r id="V:Rule49" type="connector" idref="#_x0000_s1064"/>
        <o:r id="V:Rule50" type="connector" idref="#_x0000_s1119"/>
        <o:r id="V:Rule51" type="connector" idref="#_x0000_s1044"/>
        <o:r id="V:Rule52" type="connector" idref="#_x0000_s1034"/>
        <o:r id="V:Rule53" type="connector" idref="#_x0000_s1043"/>
        <o:r id="V:Rule54" type="connector" idref="#_x0000_s1071"/>
        <o:r id="V:Rule55" type="connector" idref="#_x0000_s1074"/>
        <o:r id="V:Rule56" type="connector" idref="#_x0000_s1103"/>
        <o:r id="V:Rule57" type="connector" idref="#_x0000_s1069"/>
        <o:r id="V:Rule58" type="connector" idref="#_x0000_s1065"/>
        <o:r id="V:Rule59" type="connector" idref="#_x0000_s1106"/>
        <o:r id="V:Rule60" type="connector" idref="#_x0000_s1073"/>
        <o:r id="V:Rule61" type="connector" idref="#_x0000_s1072"/>
        <o:r id="V:Rule62" type="connector" idref="#_x0000_s1042"/>
        <o:r id="V:Rule63" type="connector" idref="#_x0000_s1062"/>
        <o:r id="V:Rule64" type="connector" idref="#_x0000_s1039"/>
        <o:r id="V:Rule65" type="connector" idref="#_x0000_s1035"/>
        <o:r id="V:Rule66" type="connector" idref="#_x0000_s1107"/>
        <o:r id="V:Rule67" type="connector" idref="#_x0000_s1099"/>
        <o:r id="V:Rule68" type="connector" idref="#_x0000_s1104"/>
        <o:r id="V:Rule69" type="connector" idref="#_x0000_s1063"/>
        <o:r id="V:Rule70" type="connector" idref="#_x0000_s1040"/>
        <o:r id="V:Rule71" type="connector" idref="#_x0000_s1096"/>
        <o:r id="V:Rule72" type="connector" idref="#_x0000_s1033"/>
        <o:r id="V:Rule73" type="connector" idref="#_x0000_s1095"/>
        <o:r id="V:Rule74" type="connector" idref="#_x0000_s1067"/>
        <o:r id="V:Rule75" type="connector" idref="#_x0000_s1102"/>
        <o:r id="V:Rule76" type="connector" idref="#_x0000_s1038"/>
        <o:r id="V:Rule77" type="connector" idref="#_x0000_s1066"/>
        <o:r id="V:Rule78" type="connector" idref="#_x0000_s1036"/>
        <o:r id="V:Rule79" type="connector" idref="#_x0000_s1032"/>
        <o:r id="V:Rule80" type="connector" idref="#_x0000_s1101"/>
      </o:rules>
    </o:shapelayout>
  </w:shapeDefaults>
  <w:decimalSymbol w:val=","/>
  <w:listSeparator w:val=";"/>
  <w14:docId w14:val="736C0E50"/>
  <w15:docId w15:val="{0BA72A36-9EFF-4152-B275-EBE30D87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C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3E9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67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679C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3367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679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BD1A48-25E8-4483-8AB2-36BE8CE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</dc:creator>
  <cp:lastModifiedBy>Ban Sandra</cp:lastModifiedBy>
  <cp:revision>17</cp:revision>
  <cp:lastPrinted>2016-04-15T08:55:00Z</cp:lastPrinted>
  <dcterms:created xsi:type="dcterms:W3CDTF">2019-05-30T09:55:00Z</dcterms:created>
  <dcterms:modified xsi:type="dcterms:W3CDTF">2019-05-30T11:32:00Z</dcterms:modified>
</cp:coreProperties>
</file>